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500"/>
      </w:pPr>
      <w:r>
        <w:rPr>
          <w:rFonts w:ascii="Arial" w:cs="Arial" w:eastAsia="Arial" w:hAnsi="Arial"/>
          <w:b/>
          <w:bCs/>
          <w:color w:val="B8860B"/>
          <w:spacing w:val="20"/>
          <w:sz w:val="20"/>
          <w:szCs w:val="20"/>
        </w:rPr>
        <w:t xml:space="preserve">NEXTGEN ECONOMICS</w:t>
      </w:r>
    </w:p>
    <w:p>
      <w:pPr>
        <w:spacing w:after="260"/>
      </w:pPr>
      <w:r>
        <w:rPr>
          <w:rFonts w:ascii="Arial" w:cs="Arial" w:eastAsia="Arial" w:hAnsi="Arial"/>
          <w:color w:val="555555"/>
          <w:spacing w:val="10"/>
          <w:sz w:val="18"/>
          <w:szCs w:val="18"/>
        </w:rPr>
        <w:t xml:space="preserve">WHITE PAPER · STRATEGIC FORESIGHT &amp; LONG-HORIZON ECONOMICS</w:t>
      </w:r>
    </w:p>
    <w:p>
      <w:pPr>
        <w:spacing w:after="120"/>
      </w:pPr>
      <w:r>
        <w:rPr>
          <w:rFonts w:ascii="Arial" w:cs="Arial" w:eastAsia="Arial" w:hAnsi="Arial"/>
          <w:b/>
          <w:bCs/>
          <w:color w:val="0A2540"/>
          <w:sz w:val="64"/>
          <w:szCs w:val="64"/>
        </w:rPr>
        <w:t xml:space="preserve">The Theseus Trajectory:</w:t>
      </w:r>
    </w:p>
    <w:p>
      <w:pPr>
        <w:spacing w:after="200"/>
      </w:pPr>
      <w:r>
        <w:rPr>
          <w:rFonts w:ascii="Arial" w:cs="Arial" w:eastAsia="Arial" w:hAnsi="Arial"/>
          <w:i/>
          <w:iCs/>
          <w:color w:val="B8860B"/>
          <w:sz w:val="40"/>
          <w:szCs w:val="40"/>
        </w:rPr>
        <w:t xml:space="preserve">The $1Q White Paper</w:t>
      </w:r>
    </w:p>
    <w:p>
      <w:pPr>
        <w:spacing w:after="400" w:line="320"/>
      </w:pPr>
      <w:r>
        <w:rPr>
          <w:rFonts w:ascii="Georgia" w:cs="Georgia" w:eastAsia="Georgia" w:hAnsi="Georgia"/>
          <w:i/>
          <w:iCs/>
          <w:color w:val="555555"/>
          <w:sz w:val="22"/>
          <w:szCs w:val="22"/>
        </w:rPr>
        <w:t xml:space="preserve">A unified framework for the quadrillion-dollar economy — a 15-year, phased roadmap for the transition to $1Q by 2045.</w:t>
      </w:r>
    </w:p>
    <w:p>
      <w:pPr>
        <w:spacing w:after="40"/>
      </w:pPr>
      <w:r>
        <w:rPr>
          <w:rFonts w:ascii="Arial" w:cs="Arial" w:eastAsia="Arial" w:hAnsi="Arial"/>
          <w:b/>
          <w:bCs/>
          <w:color w:val="1A1A1A"/>
          <w:sz w:val="24"/>
          <w:szCs w:val="24"/>
        </w:rPr>
        <w:t xml:space="preserve">Pawan Bhatia</w:t>
      </w:r>
    </w:p>
    <w:p>
      <w:pPr>
        <w:spacing w:after="20"/>
      </w:pPr>
      <w:r>
        <w:rPr>
          <w:rFonts w:ascii="Arial" w:cs="Arial" w:eastAsia="Arial" w:hAnsi="Arial"/>
          <w:color w:val="1A1A1A"/>
          <w:sz w:val="20"/>
          <w:szCs w:val="20"/>
        </w:rPr>
        <w:t xml:space="preserve">NextGen Economics · Bangalore, India</w:t>
      </w:r>
    </w:p>
    <w:p>
      <w:pPr>
        <w:spacing w:after="300"/>
      </w:pPr>
      <w:r>
        <w:rPr>
          <w:rFonts w:ascii="Arial" w:cs="Arial" w:eastAsia="Arial" w:hAnsi="Arial"/>
          <w:color w:val="1A1A1A"/>
          <w:sz w:val="20"/>
          <w:szCs w:val="20"/>
        </w:rPr>
        <w:t xml:space="preserve">July 4, 2026</w:t>
      </w:r>
    </w:p>
    <w:p>
      <w:pPr>
        <w:spacing w:after="80"/>
      </w:pPr>
      <w:r>
        <w:rPr>
          <w:rFonts w:ascii="Arial" w:cs="Arial" w:eastAsia="Arial" w:hAnsi="Arial"/>
          <w:b/>
          <w:bCs/>
          <w:color w:val="555555"/>
          <w:sz w:val="20"/>
          <w:szCs w:val="20"/>
        </w:rPr>
        <w:t xml:space="preserve">Document Classification:  </w:t>
      </w:r>
      <w:r>
        <w:rPr>
          <w:rFonts w:ascii="Arial" w:cs="Arial" w:eastAsia="Arial" w:hAnsi="Arial"/>
          <w:color w:val="1A1A1A"/>
          <w:sz w:val="20"/>
          <w:szCs w:val="20"/>
        </w:rPr>
        <w:t xml:space="preserve">Institutional-Grade Strategic Foresight</w:t>
      </w:r>
    </w:p>
    <w:p>
      <w:pPr>
        <w:spacing w:after="80"/>
      </w:pPr>
      <w:r>
        <w:rPr>
          <w:rFonts w:ascii="Arial" w:cs="Arial" w:eastAsia="Arial" w:hAnsi="Arial"/>
          <w:b/>
          <w:bCs/>
          <w:color w:val="555555"/>
          <w:sz w:val="20"/>
          <w:szCs w:val="20"/>
        </w:rPr>
        <w:t xml:space="preserve">Version:  </w:t>
      </w:r>
      <w:r>
        <w:rPr>
          <w:rFonts w:ascii="Arial" w:cs="Arial" w:eastAsia="Arial" w:hAnsi="Arial"/>
          <w:color w:val="1A1A1A"/>
          <w:sz w:val="20"/>
          <w:szCs w:val="20"/>
        </w:rPr>
        <w:t xml:space="preserve">5.0 (Editorial Pass — Trimmed, Rounded, and De-Risked Language; Pending Owner Sign-off)</w:t>
      </w:r>
    </w:p>
    <w:p>
      <w:pPr>
        <w:spacing w:after="80"/>
      </w:pPr>
      <w:r>
        <w:rPr>
          <w:rFonts w:ascii="Arial" w:cs="Arial" w:eastAsia="Arial" w:hAnsi="Arial"/>
          <w:b/>
          <w:bCs/>
          <w:color w:val="555555"/>
          <w:sz w:val="20"/>
          <w:szCs w:val="20"/>
        </w:rPr>
        <w:t xml:space="preserve">Distribution:  </w:t>
      </w:r>
      <w:r>
        <w:rPr>
          <w:rFonts w:ascii="Arial" w:cs="Arial" w:eastAsia="Arial" w:hAnsi="Arial"/>
          <w:color w:val="1A1A1A"/>
          <w:sz w:val="20"/>
          <w:szCs w:val="20"/>
        </w:rPr>
        <w:t xml:space="preserve">Global Policymakers, Sovereign Wealth Funds, Institutional Investors, Central Banks</w:t>
      </w:r>
    </w:p>
    <w:p>
      <w:pPr>
        <w:spacing w:after="80"/>
      </w:pPr>
      <w:r>
        <w:rPr>
          <w:rFonts w:ascii="Arial" w:cs="Arial" w:eastAsia="Arial" w:hAnsi="Arial"/>
          <w:b/>
          <w:bCs/>
          <w:color w:val="555555"/>
          <w:sz w:val="20"/>
          <w:szCs w:val="20"/>
        </w:rPr>
        <w:t xml:space="preserve">Classification:  </w:t>
      </w:r>
      <w:r>
        <w:rPr>
          <w:rFonts w:ascii="Arial" w:cs="Arial" w:eastAsia="Arial" w:hAnsi="Arial"/>
          <w:color w:val="1A1A1A"/>
          <w:sz w:val="20"/>
          <w:szCs w:val="20"/>
        </w:rPr>
        <w:t xml:space="preserve">Public Release — Strategic Guidance</w:t>
      </w:r>
    </w:p>
    <w:p>
      <w:r>
        <w:br w:type="page"/>
      </w:r>
    </w:p>
    <w:p>
      <w:pPr>
        <w:spacing w:after="40" w:line="320"/>
      </w:pPr>
      <w:r>
        <w:rPr>
          <w:rFonts w:ascii="Arial" w:cs="Arial" w:eastAsia="Arial" w:hAnsi="Arial"/>
          <w:i/>
          <w:iCs/>
          <w:color w:val="1A1A1A"/>
          <w:sz w:val="22"/>
          <w:szCs w:val="22"/>
        </w:rPr>
        <w:t xml:space="preserve">Compiled with the assistance of AI tools for data synthesis and drafting, and rigorously reviewed and verified by human subject matter experts.</w:t>
      </w:r>
    </w:p>
    <w:p>
      <w:pPr>
        <w:spacing w:after="320" w:line="320"/>
      </w:pPr>
      <w:r>
        <w:rPr>
          <w:rFonts w:ascii="Arial" w:cs="Arial" w:eastAsia="Arial" w:hAnsi="Arial"/>
          <w:i/>
          <w:iCs/>
          <w:color w:val="555555"/>
          <w:sz w:val="22"/>
          <w:szCs w:val="22"/>
        </w:rPr>
        <w:t xml:space="preserve">This is a draft prepared following “Sovereign Money as Equity,” “The Alignment Mirage,” “The Concrete Mirage: Blessings Equity,” and “The Climate Solution Paradox.” It is presented for owner review prior to any publication decision; its position in the numbered white paper series is not yet finalised. Reference data vintages are as stated in the Bibliography; a pre-publication fact-check pass against then-current IMF, IEA, and BIS releases is recommended before this draft is finalised.</w:t>
      </w:r>
    </w:p>
    <w:p>
      <w:pPr>
        <w:pBdr>
          <w:bottom w:val="single" w:color="B8860B" w:sz="8" w:space="1"/>
        </w:pBdr>
        <w:spacing w:after="240" w:before="60"/>
      </w:pPr>
      <w:r>
        <w:rPr>
          <w:sz w:val="2"/>
          <w:szCs w:val="2"/>
        </w:rPr>
        <w:t xml:space="preserve"/>
      </w:r>
    </w:p>
    <w:p>
      <w:pPr>
        <w:pStyle w:val="Heading1"/>
        <w:spacing w:after="160" w:before="480"/>
      </w:pPr>
      <w:r>
        <w:rPr>
          <w:rFonts w:ascii="Arial" w:cs="Arial" w:eastAsia="Arial" w:hAnsi="Arial"/>
          <w:b/>
          <w:bCs/>
          <w:color w:val="0A2540"/>
          <w:sz w:val="36"/>
          <w:szCs w:val="36"/>
        </w:rPr>
        <w:t xml:space="preserve">Executive Summary</w:t>
      </w:r>
    </w:p>
    <w:p>
      <w:pPr>
        <w:pStyle w:val="Heading2"/>
        <w:spacing w:after="120" w:before="320"/>
      </w:pPr>
      <w:r>
        <w:rPr>
          <w:rFonts w:ascii="Arial" w:cs="Arial" w:eastAsia="Arial" w:hAnsi="Arial"/>
          <w:b/>
          <w:bCs/>
          <w:color w:val="0A2540"/>
          <w:sz w:val="26"/>
          <w:szCs w:val="26"/>
        </w:rPr>
        <w:t xml:space="preserve">The Problem</w:t>
      </w:r>
    </w:p>
    <w:p>
      <w:pPr>
        <w:spacing w:after="200" w:line="320"/>
      </w:pPr>
      <w:r>
        <w:rPr>
          <w:rFonts w:ascii="Arial" w:cs="Arial" w:eastAsia="Arial" w:hAnsi="Arial"/>
          <w:color w:val="1A1A1A"/>
          <w:sz w:val="22"/>
          <w:szCs w:val="22"/>
        </w:rPr>
        <w:t xml:space="preserve">The global economy stands at an inflection point. At $600 trillion in total wealth</w:t>
      </w:r>
      <w:r>
        <w:rPr>
          <w:rStyle w:val="FootnoteReference"/>
        </w:rPr>
        <w:footnoteReference w:id="1"/>
      </w:r>
      <w:r>
        <w:rPr>
          <w:rFonts w:ascii="Arial" w:cs="Arial" w:eastAsia="Arial" w:hAnsi="Arial"/>
          <w:color w:val="1A1A1A"/>
          <w:sz w:val="22"/>
          <w:szCs w:val="22"/>
        </w:rPr>
        <w:t xml:space="preserve"> and $348 trillion in debt</w:t>
      </w:r>
      <w:r>
        <w:rPr>
          <w:rStyle w:val="FootnoteReference"/>
        </w:rPr>
        <w:footnoteReference w:id="2"/>
      </w:r>
      <w:r>
        <w:rPr>
          <w:rFonts w:ascii="Arial" w:cs="Arial" w:eastAsia="Arial" w:hAnsi="Arial"/>
          <w:color w:val="1A1A1A"/>
          <w:sz w:val="22"/>
          <w:szCs w:val="22"/>
        </w:rPr>
        <w:t xml:space="preserve">, the post-war economic order is at once its wealthiest and most fragile. Extreme concentration and geopolitical fragmentation now weigh on a fossil-fuelled, labour-intensive, linear model.</w:t>
      </w:r>
    </w:p>
    <w:p>
      <w:pPr>
        <w:pStyle w:val="Heading2"/>
        <w:spacing w:after="120" w:before="320"/>
      </w:pPr>
      <w:r>
        <w:rPr>
          <w:rFonts w:ascii="Arial" w:cs="Arial" w:eastAsia="Arial" w:hAnsi="Arial"/>
          <w:b/>
          <w:bCs/>
          <w:color w:val="0A2540"/>
          <w:sz w:val="26"/>
          <w:szCs w:val="26"/>
        </w:rPr>
        <w:t xml:space="preserve">The Opportunity</w:t>
      </w:r>
    </w:p>
    <w:p>
      <w:pPr>
        <w:spacing w:after="200" w:line="320"/>
      </w:pPr>
      <w:r>
        <w:rPr>
          <w:rFonts w:ascii="Arial" w:cs="Arial" w:eastAsia="Arial" w:hAnsi="Arial"/>
          <w:color w:val="1A1A1A"/>
          <w:sz w:val="22"/>
          <w:szCs w:val="22"/>
        </w:rPr>
        <w:t xml:space="preserve">Technological change is accelerating, not merely continuing. Two years ago, DeepSeek and Claude were unknown outside specialist circles; today they are reshaping industries. This decade should establish the pillars of a quadrillion-dollar ($1Q) economy — though on uneven timelines, fusion's chief among them:</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Nuclear fusion is positioned to supply near-limitless, zero-carbon baseload energy — on a timeline this paper treats as its single largest uncertainty (Section 2.1).</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Physical AI and robotics look set to become a new factor of production, extending human labour by orders of magnitude.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bio-economy could begin displacing petrochemical-based manufacturing.</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Space and oceanic resources may become economically viable frontiers.</w:t>
      </w:r>
    </w:p>
    <w:p>
      <w:pPr>
        <w:pStyle w:val="Heading2"/>
        <w:spacing w:after="120" w:before="320"/>
      </w:pPr>
      <w:r>
        <w:rPr>
          <w:rFonts w:ascii="Arial" w:cs="Arial" w:eastAsia="Arial" w:hAnsi="Arial"/>
          <w:b/>
          <w:bCs/>
          <w:color w:val="0A2540"/>
          <w:sz w:val="26"/>
          <w:szCs w:val="26"/>
        </w:rPr>
        <w:t xml:space="preserve">The Thesis</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The central barrier to $1Q by 2045 is not scientific or engineering failure, but human failure — of distribution, governance, valuation, and cognition. The global economy is being rebuilt while still sailing, like the ship of Theseus. The transition looks highly likely on current trends. Its outcome does not.</w:t>
            </w:r>
          </w:p>
        </w:tc>
      </w:tr>
    </w:tbl>
    <w:p>
      <w:pPr>
        <w:pStyle w:val="Heading2"/>
        <w:spacing w:after="120" w:before="320"/>
      </w:pPr>
      <w:r>
        <w:rPr>
          <w:rFonts w:ascii="Arial" w:cs="Arial" w:eastAsia="Arial" w:hAnsi="Arial"/>
          <w:b/>
          <w:bCs/>
          <w:color w:val="0A2540"/>
          <w:sz w:val="26"/>
          <w:szCs w:val="26"/>
        </w:rPr>
        <w:t xml:space="preserve">The Action Plan</w:t>
      </w:r>
    </w:p>
    <w:p>
      <w:pPr>
        <w:spacing w:after="200" w:line="320"/>
      </w:pPr>
      <w:r>
        <w:rPr>
          <w:rFonts w:ascii="Arial" w:cs="Arial" w:eastAsia="Arial" w:hAnsi="Arial"/>
          <w:color w:val="1A1A1A"/>
          <w:sz w:val="22"/>
          <w:szCs w:val="22"/>
        </w:rPr>
        <w:t xml:space="preserve">This paper sets out a 15-year, phased roadmap for that transition, built on scenario planning that treats change as messy and uneven rather than assuming a clean path.</w:t>
      </w:r>
    </w:p>
    <w:p>
      <w:pPr>
        <w:pStyle w:val="Heading2"/>
        <w:spacing w:after="120" w:before="320"/>
      </w:pPr>
      <w:r>
        <w:rPr>
          <w:rFonts w:ascii="Arial" w:cs="Arial" w:eastAsia="Arial" w:hAnsi="Arial"/>
          <w:b/>
          <w:bCs/>
          <w:color w:val="0A2540"/>
          <w:sz w:val="26"/>
          <w:szCs w:val="26"/>
        </w:rPr>
        <w:t xml:space="preserve">The Bottom Line</w:t>
      </w:r>
    </w:p>
    <w:p>
      <w:pPr>
        <w:spacing w:after="200" w:line="320"/>
      </w:pPr>
      <w:r>
        <w:rPr>
          <w:rFonts w:ascii="Arial" w:cs="Arial" w:eastAsia="Arial" w:hAnsi="Arial"/>
          <w:color w:val="1A1A1A"/>
          <w:sz w:val="22"/>
          <w:szCs w:val="22"/>
        </w:rPr>
        <w:t xml:space="preserve">At a sustained 17% effective growth rate</w:t>
      </w:r>
      <w:r>
        <w:rPr>
          <w:rStyle w:val="FootnoteReference"/>
        </w:rPr>
        <w:footnoteReference w:id="14"/>
      </w:r>
      <w:r>
        <w:rPr>
          <w:rFonts w:ascii="Arial" w:cs="Arial" w:eastAsia="Arial" w:hAnsi="Arial"/>
          <w:color w:val="1A1A1A"/>
          <w:sz w:val="22"/>
          <w:szCs w:val="22"/>
        </w:rPr>
        <w:t xml:space="preserve"> — this paper's optimistic case; Section 2.4 recommends 15% for actual planning purposes — the global economy roughly doubles every four years:</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404"/>
        <w:gridCol w:w="2808"/>
        <w:gridCol w:w="5148"/>
      </w:tblGrid>
      <w:tr>
        <w:trPr>
          <w:tblHeader/>
        </w:trPr>
        <w:tc>
          <w:tcPr>
            <w:tcW w:type="dxa" w:w="140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Year</w:t>
            </w:r>
          </w:p>
        </w:tc>
        <w:tc>
          <w:tcPr>
            <w:tcW w:type="dxa" w:w="280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GDP (Nominal, Optimistic Case)</w:t>
            </w:r>
          </w:p>
        </w:tc>
        <w:tc>
          <w:tcPr>
            <w:tcW w:type="dxa" w:w="514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Growth Driver</w:t>
            </w:r>
          </w:p>
        </w:tc>
      </w:tr>
      <w:tr>
        <w:tc>
          <w:tcPr>
            <w:tcW w:type="dxa" w:w="140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2026</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$105T</w:t>
            </w:r>
          </w:p>
        </w:tc>
        <w:tc>
          <w:tcPr>
            <w:tcW w:type="dxa" w:w="514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Baseline</w:t>
            </w:r>
          </w:p>
        </w:tc>
      </w:tr>
      <w:tr>
        <w:tc>
          <w:tcPr>
            <w:tcW w:type="dxa" w:w="140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2030</w:t>
            </w:r>
          </w:p>
        </w:tc>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~$200T</w:t>
            </w:r>
          </w:p>
        </w:tc>
        <w:tc>
          <w:tcPr>
            <w:tcW w:type="dxa" w:w="514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 Energy + Connectivity</w:t>
            </w:r>
          </w:p>
        </w:tc>
      </w:tr>
      <w:tr>
        <w:tc>
          <w:tcPr>
            <w:tcW w:type="dxa" w:w="140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2034</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~$380T</w:t>
            </w:r>
          </w:p>
        </w:tc>
        <w:tc>
          <w:tcPr>
            <w:tcW w:type="dxa" w:w="514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Compound growth</w:t>
            </w:r>
          </w:p>
        </w:tc>
      </w:tr>
      <w:tr>
        <w:tc>
          <w:tcPr>
            <w:tcW w:type="dxa" w:w="140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2038</w:t>
            </w:r>
          </w:p>
        </w:tc>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~$730T</w:t>
            </w:r>
          </w:p>
        </w:tc>
        <w:tc>
          <w:tcPr>
            <w:tcW w:type="dxa" w:w="514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Compound growth</w:t>
            </w:r>
          </w:p>
        </w:tc>
      </w:tr>
      <w:tr>
        <w:tc>
          <w:tcPr>
            <w:tcW w:type="dxa" w:w="140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2042</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~$1.1Q</w:t>
            </w:r>
          </w:p>
        </w:tc>
        <w:tc>
          <w:tcPr>
            <w:tcW w:type="dxa" w:w="514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Approaching $1Q Threshold</w:t>
            </w:r>
          </w:p>
        </w:tc>
      </w:tr>
    </w:tbl>
    <w:p>
      <w:pPr>
        <w:spacing w:after="200"/>
      </w:pPr>
      <w:r>
        <w:t xml:space="preserve"/>
      </w:r>
    </w:p>
    <w:p>
      <w:pPr>
        <w:pStyle w:val="Heading2"/>
        <w:spacing w:after="120" w:before="320"/>
      </w:pPr>
      <w:r>
        <w:rPr>
          <w:rFonts w:ascii="Arial" w:cs="Arial" w:eastAsia="Arial" w:hAnsi="Arial"/>
          <w:b/>
          <w:bCs/>
          <w:color w:val="0A2540"/>
          <w:sz w:val="26"/>
          <w:szCs w:val="26"/>
        </w:rPr>
        <w:t xml:space="preserve">The Call to Action</w:t>
      </w:r>
    </w:p>
    <w:p>
      <w:pPr>
        <w:spacing w:after="200" w:line="320"/>
      </w:pPr>
      <w:r>
        <w:rPr>
          <w:rFonts w:ascii="Arial" w:cs="Arial" w:eastAsia="Arial" w:hAnsi="Arial"/>
          <w:color w:val="1A1A1A"/>
          <w:sz w:val="22"/>
          <w:szCs w:val="22"/>
        </w:rPr>
        <w:t xml:space="preserve">This is a North Star, not a forecast — a target requiring deliberate, coordinated action, starting now.</w:t>
      </w:r>
    </w:p>
    <w:p>
      <w:pPr>
        <w:spacing w:after="200"/>
      </w:pPr>
      <w:r>
        <w:t xml:space="preserve"/>
      </w:r>
    </w:p>
    <w:tbl>
      <w:tblPr>
        <w:tblW w:type="dxa" w:w="9360"/>
        <w:tblBorders>
          <w:top w:val="single" w:color="D4D0C8" w:sz="4"/>
          <w:left w:val="single" w:color="B8860B" w:sz="24"/>
          <w:bottom w:val="single" w:color="D4D0C8" w:sz="4"/>
          <w:right w:val="single" w:color="D4D0C8" w:sz="4"/>
          <w:insideH w:val="single" w:color="auto" w:sz="4"/>
          <w:insideV w:val="single" w:color="auto" w:sz="4"/>
        </w:tblBorders>
      </w:tblPr>
      <w:tblGrid>
        <w:gridCol w:w="9360"/>
      </w:tblGrid>
      <w:tr>
        <w:tc>
          <w:tcPr>
            <w:tcW w:type="dxa" w:w="9360"/>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ASSUMPTIONS AT A GLANCE</w:t>
            </w:r>
          </w:p>
          <w:p>
            <w:pPr>
              <w:spacing w:after="0" w:line="300"/>
            </w:pPr>
            <w:r>
              <w:rPr>
                <w:rFonts w:ascii="Arial" w:cs="Arial" w:eastAsia="Arial" w:hAnsi="Arial"/>
                <w:i/>
                <w:iCs/>
                <w:color w:val="1A1A1A"/>
                <w:sz w:val="22"/>
                <w:szCs w:val="22"/>
              </w:rPr>
              <w:t xml:space="preserve">2026 baseline: $105T GDP (IMF), $600T wealth (Credit Suisse), $348T debt (IIF). Recommended planning growth rate: 15% (base case), with 12% conservative and 17–20% as upside/stretch cases — see Section 2.4. The single largest source of uncertainty in every figure below 2035 is fusion commercialisation timing (Section 2.1); where fusion slips, treat all later-year figures as directionally, not numerically, reliable. Headline 2040/2045 figures (asset classes, robotics, bio-economy) are NGE's own scenario-anchored model output, not third-party forecasts; full derivation is in Appendix A.</w:t>
            </w:r>
          </w:p>
        </w:tc>
      </w:tr>
    </w:tbl>
    <w:p>
      <w:r>
        <w:br w:type="page"/>
      </w:r>
    </w:p>
    <w:p>
      <w:pPr>
        <w:pStyle w:val="Heading1"/>
        <w:spacing w:after="160" w:before="480"/>
      </w:pPr>
      <w:r>
        <w:rPr>
          <w:rFonts w:ascii="Arial" w:cs="Arial" w:eastAsia="Arial" w:hAnsi="Arial"/>
          <w:b/>
          <w:bCs/>
          <w:color w:val="0A2540"/>
          <w:sz w:val="36"/>
          <w:szCs w:val="36"/>
        </w:rPr>
        <w:t xml:space="preserve">1.0 · The Starting Truth: A World at the Precipice</w:t>
      </w:r>
    </w:p>
    <w:p>
      <w:pPr>
        <w:pStyle w:val="Heading2"/>
        <w:spacing w:after="120" w:before="320"/>
      </w:pPr>
      <w:r>
        <w:rPr>
          <w:rFonts w:ascii="Arial" w:cs="Arial" w:eastAsia="Arial" w:hAnsi="Arial"/>
          <w:b/>
          <w:bCs/>
          <w:color w:val="0A2540"/>
          <w:sz w:val="26"/>
          <w:szCs w:val="26"/>
        </w:rPr>
        <w:t xml:space="preserve">1.1 The Global Balance Sheet (2026)</w:t>
      </w:r>
    </w:p>
    <w:p>
      <w:pPr>
        <w:spacing w:after="200" w:line="320"/>
      </w:pPr>
      <w:r>
        <w:rPr>
          <w:rFonts w:ascii="Arial" w:cs="Arial" w:eastAsia="Arial" w:hAnsi="Arial"/>
          <w:color w:val="1A1A1A"/>
          <w:sz w:val="22"/>
          <w:szCs w:val="22"/>
        </w:rPr>
        <w:t xml:space="preserve">The current global balance sheet reveals a world that is simultaneously wealthy and fragile. The distribution of assets and liabilities across institutional sectors tells a story of systemic leverage and inequality.</w:t>
      </w:r>
      <w:r>
        <w:rPr>
          <w:rStyle w:val="FootnoteReference"/>
        </w:rPr>
        <w:footnoteReference w:id="3"/>
      </w:r>
      <w:r>
        <w:rPr>
          <w:rFonts w:ascii="Arial" w:cs="Arial" w:eastAsia="Arial" w:hAnsi="Arial"/>
          <w:color w:val="1A1A1A"/>
          <w:sz w:val="22"/>
          <w:szCs w:val="22"/>
        </w:rPr>
        <w:t xml:space="preserve"> Figures below are 2025/2026-vintage estimates from the sources cited throughout this section, not a single reconciled point-in-time balance sheet — treat them as directionally accurate rather than audited.</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404"/>
        <w:gridCol w:w="1217"/>
        <w:gridCol w:w="1217"/>
        <w:gridCol w:w="1123"/>
        <w:gridCol w:w="4399"/>
      </w:tblGrid>
      <w:tr>
        <w:trPr>
          <w:tblHeader/>
        </w:trPr>
        <w:tc>
          <w:tcPr>
            <w:tcW w:type="dxa" w:w="140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Institutional Sector</w:t>
            </w:r>
          </w:p>
        </w:tc>
        <w:tc>
          <w:tcPr>
            <w:tcW w:type="dxa" w:w="121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Total Assets</w:t>
            </w:r>
          </w:p>
        </w:tc>
        <w:tc>
          <w:tcPr>
            <w:tcW w:type="dxa" w:w="121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Total Liabilities</w:t>
            </w:r>
          </w:p>
        </w:tc>
        <w:tc>
          <w:tcPr>
            <w:tcW w:type="dxa" w:w="1123"/>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Net Worth</w:t>
            </w:r>
          </w:p>
        </w:tc>
        <w:tc>
          <w:tcPr>
            <w:tcW w:type="dxa" w:w="439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Key Characteristics</w:t>
            </w:r>
          </w:p>
        </w:tc>
      </w:tr>
      <w:tr>
        <w:tc>
          <w:tcPr>
            <w:tcW w:type="dxa" w:w="140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Households</w:t>
            </w:r>
          </w:p>
        </w:tc>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~$538.6T</w:t>
            </w:r>
          </w:p>
        </w:tc>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~$69.4T</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~$469.2T</w:t>
            </w:r>
          </w:p>
        </w:tc>
        <w:tc>
          <w:tcPr>
            <w:tcW w:type="dxa" w:w="439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Wealthiest sector; holds ~90% of global wealth via real estate, equities, and pensions. Highly exposed to asset price volatility.</w:t>
            </w:r>
          </w:p>
        </w:tc>
      </w:tr>
      <w:tr>
        <w:tc>
          <w:tcPr>
            <w:tcW w:type="dxa" w:w="140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Governments</w:t>
            </w:r>
          </w:p>
        </w:tc>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~$106.7T</w:t>
            </w:r>
          </w:p>
        </w:tc>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~$106.7T</w:t>
            </w:r>
          </w:p>
        </w:tc>
        <w:tc>
          <w:tcPr>
            <w:tcW w:type="dxa" w:w="112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Negative</w:t>
            </w:r>
          </w:p>
        </w:tc>
        <w:tc>
          <w:tcPr>
            <w:tcW w:type="dxa" w:w="439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Primary driver of new global debt; most nations have negative net worth. Fiscal space constrained by debt servicing.</w:t>
            </w:r>
          </w:p>
        </w:tc>
      </w:tr>
      <w:tr>
        <w:tc>
          <w:tcPr>
            <w:tcW w:type="dxa" w:w="140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Non-Financial Corporations</w:t>
            </w:r>
          </w:p>
        </w:tc>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Sector-specific</w:t>
            </w:r>
          </w:p>
        </w:tc>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~$100.6T</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Mixed</w:t>
            </w:r>
          </w:p>
        </w:tc>
        <w:tc>
          <w:tcPr>
            <w:tcW w:type="dxa" w:w="439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Hold significant produced assets (machinery, IP); corporate debt at historic highs. Vulnerable to interest rate shocks.</w:t>
            </w:r>
          </w:p>
        </w:tc>
      </w:tr>
      <w:tr>
        <w:tc>
          <w:tcPr>
            <w:tcW w:type="dxa" w:w="140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Financial Corporations</w:t>
            </w:r>
          </w:p>
        </w:tc>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~$29.9T</w:t>
            </w:r>
          </w:p>
        </w:tc>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~$32.6T</w:t>
            </w:r>
          </w:p>
        </w:tc>
        <w:tc>
          <w:tcPr>
            <w:tcW w:type="dxa" w:w="112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Negative</w:t>
            </w:r>
          </w:p>
        </w:tc>
        <w:tc>
          <w:tcPr>
            <w:tcW w:type="dxa" w:w="439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System intermediaries; liabilities are assets of other sectors. Highly leveraged to market volatility.</w:t>
            </w:r>
          </w:p>
        </w:tc>
      </w:tr>
      <w:tr>
        <w:tc>
          <w:tcPr>
            <w:tcW w:type="dxa" w:w="140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Total Global</w:t>
            </w:r>
          </w:p>
        </w:tc>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~$600T</w:t>
            </w:r>
          </w:p>
        </w:tc>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~$348T</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~$252T</w:t>
            </w:r>
          </w:p>
        </w:tc>
        <w:tc>
          <w:tcPr>
            <w:tcW w:type="dxa" w:w="439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Net global wealth is positive, but increasingly “paper wealth” from asset inflation rather than real investment.</w:t>
            </w:r>
          </w:p>
        </w:tc>
      </w:tr>
    </w:tbl>
    <w:p>
      <w:pPr>
        <w:spacing w:after="240"/>
      </w:pPr>
      <w:r>
        <w:t xml:space="preserve"/>
      </w:r>
    </w:p>
    <w:p>
      <w:pPr>
        <w:pStyle w:val="Heading2"/>
        <w:spacing w:after="120" w:before="320"/>
      </w:pPr>
      <w:r>
        <w:rPr>
          <w:rFonts w:ascii="Arial" w:cs="Arial" w:eastAsia="Arial" w:hAnsi="Arial"/>
          <w:b/>
          <w:bCs/>
          <w:color w:val="0A2540"/>
          <w:sz w:val="26"/>
          <w:szCs w:val="26"/>
        </w:rPr>
        <w:t xml:space="preserve">1.2 The Four Systemic Crises</w:t>
      </w:r>
    </w:p>
    <w:p>
      <w:pPr>
        <w:spacing w:after="80" w:before="240"/>
      </w:pPr>
      <w:r>
        <w:rPr>
          <w:rFonts w:ascii="Arial" w:cs="Arial" w:eastAsia="Arial" w:hAnsi="Arial"/>
          <w:b/>
          <w:bCs/>
          <w:i/>
          <w:iCs/>
          <w:color w:val="555555"/>
          <w:sz w:val="22"/>
          <w:szCs w:val="22"/>
        </w:rPr>
        <w:t xml:space="preserve">1.2.1 The Debt Overhang</w:t>
      </w:r>
    </w:p>
    <w:p>
      <w:pPr>
        <w:spacing w:after="200" w:line="320"/>
      </w:pPr>
      <w:r>
        <w:rPr>
          <w:rFonts w:ascii="Arial" w:cs="Arial" w:eastAsia="Arial" w:hAnsi="Arial"/>
          <w:color w:val="1A1A1A"/>
          <w:sz w:val="22"/>
          <w:szCs w:val="22"/>
        </w:rPr>
        <w:t xml:space="preserve">At $348 trillion, global debt is now 3.3 times global GDP.</w:t>
      </w:r>
      <w:r>
        <w:rPr>
          <w:rStyle w:val="FootnoteReference"/>
        </w:rPr>
        <w:footnoteReference w:id="4"/>
      </w:r>
      <w:r>
        <w:rPr>
          <w:rFonts w:ascii="Arial" w:cs="Arial" w:eastAsia="Arial" w:hAnsi="Arial"/>
          <w:color w:val="1A1A1A"/>
          <w:sz w:val="22"/>
          <w:szCs w:val="22"/>
        </w:rPr>
        <w:t xml:space="preserve"> Servicing this debt consumes approximately 10% of global output annually, diverting capital from productive investment, R&amp;D, and social spending. This creates a structural drag on growth.</w:t>
      </w:r>
    </w:p>
    <w:p>
      <w:pPr>
        <w:spacing w:after="80" w:before="240"/>
      </w:pPr>
      <w:r>
        <w:rPr>
          <w:rFonts w:ascii="Arial" w:cs="Arial" w:eastAsia="Arial" w:hAnsi="Arial"/>
          <w:b/>
          <w:bCs/>
          <w:i/>
          <w:iCs/>
          <w:color w:val="555555"/>
          <w:sz w:val="22"/>
          <w:szCs w:val="22"/>
        </w:rPr>
        <w:t xml:space="preserve">1.2.2 The Inequality Trap</w:t>
      </w:r>
    </w:p>
    <w:p>
      <w:pPr>
        <w:spacing w:after="200" w:line="320"/>
      </w:pPr>
      <w:r>
        <w:rPr>
          <w:rFonts w:ascii="Arial" w:cs="Arial" w:eastAsia="Arial" w:hAnsi="Arial"/>
          <w:color w:val="1A1A1A"/>
          <w:sz w:val="22"/>
          <w:szCs w:val="22"/>
        </w:rPr>
        <w:t xml:space="preserve">The bottom 50% of humanity holds approximately 2% of global wealth. The top 1% holds approximately 45%.</w:t>
      </w:r>
      <w:r>
        <w:rPr>
          <w:rStyle w:val="FootnoteReference"/>
        </w:rPr>
        <w:footnoteReference w:id="5"/>
      </w:r>
      <w:r>
        <w:rPr>
          <w:rFonts w:ascii="Arial" w:cs="Arial" w:eastAsia="Arial" w:hAnsi="Arial"/>
          <w:color w:val="1A1A1A"/>
          <w:sz w:val="22"/>
          <w:szCs w:val="22"/>
        </w:rPr>
        <w:t xml:space="preserve"> This is not merely a moral failing — it is a structural drag on aggregate demand and innovation. Concentration of capital reduces consumption, limits human capital development, and fuels political instability that undermines long-term investment.</w:t>
      </w:r>
    </w:p>
    <w:p>
      <w:pPr>
        <w:spacing w:after="80" w:before="240"/>
      </w:pPr>
      <w:r>
        <w:rPr>
          <w:rFonts w:ascii="Arial" w:cs="Arial" w:eastAsia="Arial" w:hAnsi="Arial"/>
          <w:b/>
          <w:bCs/>
          <w:i/>
          <w:iCs/>
          <w:color w:val="555555"/>
          <w:sz w:val="22"/>
          <w:szCs w:val="22"/>
        </w:rPr>
        <w:t xml:space="preserve">1.2.3 The Energy Cliff</w:t>
      </w:r>
    </w:p>
    <w:p>
      <w:pPr>
        <w:spacing w:after="200" w:line="320"/>
      </w:pPr>
      <w:r>
        <w:rPr>
          <w:rFonts w:ascii="Arial" w:cs="Arial" w:eastAsia="Arial" w:hAnsi="Arial"/>
          <w:color w:val="1A1A1A"/>
          <w:sz w:val="22"/>
          <w:szCs w:val="22"/>
        </w:rPr>
        <w:t xml:space="preserve">The $6 trillion fossil fuel economy</w:t>
      </w:r>
      <w:r>
        <w:rPr>
          <w:rStyle w:val="FootnoteReference"/>
        </w:rPr>
        <w:footnoteReference w:id="6"/>
      </w:r>
      <w:r>
        <w:rPr>
          <w:rFonts w:ascii="Arial" w:cs="Arial" w:eastAsia="Arial" w:hAnsi="Arial"/>
          <w:color w:val="1A1A1A"/>
          <w:sz w:val="22"/>
          <w:szCs w:val="22"/>
        </w:rPr>
        <w:t xml:space="preserve"> is the foundation of the old world. Retiring this infrastructure while maintaining economic stability and energy security is the central challenge of the transition. Stranded asset risk — currently estimated at $10–20 trillion for fossil fuel reserves</w:t>
      </w:r>
      <w:r>
        <w:rPr>
          <w:rStyle w:val="FootnoteReference"/>
        </w:rPr>
        <w:footnoteReference w:id="7"/>
      </w:r>
      <w:r>
        <w:rPr>
          <w:rFonts w:ascii="Arial" w:cs="Arial" w:eastAsia="Arial" w:hAnsi="Arial"/>
          <w:color w:val="1A1A1A"/>
          <w:sz w:val="22"/>
          <w:szCs w:val="22"/>
        </w:rPr>
        <w:t xml:space="preserve"> — threatens to cascade through global financial markets.</w:t>
      </w:r>
    </w:p>
    <w:p>
      <w:pPr>
        <w:spacing w:after="80" w:before="240"/>
      </w:pPr>
      <w:r>
        <w:rPr>
          <w:rFonts w:ascii="Arial" w:cs="Arial" w:eastAsia="Arial" w:hAnsi="Arial"/>
          <w:b/>
          <w:bCs/>
          <w:i/>
          <w:iCs/>
          <w:color w:val="555555"/>
          <w:sz w:val="22"/>
          <w:szCs w:val="22"/>
        </w:rPr>
        <w:t xml:space="preserve">1.2.4 The Governance Gap</w:t>
      </w:r>
    </w:p>
    <w:p>
      <w:pPr>
        <w:spacing w:after="200" w:line="320"/>
      </w:pPr>
      <w:r>
        <w:rPr>
          <w:rFonts w:ascii="Arial" w:cs="Arial" w:eastAsia="Arial" w:hAnsi="Arial"/>
          <w:color w:val="1A1A1A"/>
          <w:sz w:val="22"/>
          <w:szCs w:val="22"/>
        </w:rPr>
        <w:t xml:space="preserve">Our core institutions — the UN, IMF, World Bank, national central banks, and regulatory frameworks — are built for a slow, linear, unipolar world. They cannot process the speed of AI-driven markets, the scale of fusion deployment, or the complexity of multipolar resource competition. Institutional inertia is a binding constraint on the transition.</w:t>
      </w:r>
    </w:p>
    <w:p>
      <w:pPr>
        <w:spacing w:after="80" w:before="240"/>
      </w:pPr>
      <w:r>
        <w:rPr>
          <w:rFonts w:ascii="Arial" w:cs="Arial" w:eastAsia="Arial" w:hAnsi="Arial"/>
          <w:b/>
          <w:bCs/>
          <w:i/>
          <w:iCs/>
          <w:color w:val="555555"/>
          <w:sz w:val="22"/>
          <w:szCs w:val="22"/>
        </w:rPr>
        <w:t xml:space="preserve">1.2.5 The Demographic Headwind</w:t>
      </w:r>
    </w:p>
    <w:p>
      <w:pPr>
        <w:spacing w:after="200" w:line="320"/>
      </w:pPr>
      <w:r>
        <w:rPr>
          <w:rFonts w:ascii="Arial" w:cs="Arial" w:eastAsia="Arial" w:hAnsi="Arial"/>
          <w:color w:val="1A1A1A"/>
          <w:sz w:val="22"/>
          <w:szCs w:val="22"/>
        </w:rPr>
        <w:t xml:space="preserve">The $1Q thesis leans on a “demographic dividend” from India, ASEAN, and Africa to help carry emerging-market growth (Section 2.3). That dividend is real, but it is only half the demographic picture. China's working-age population peaked around 2015 and is now shrinking; Japan and South Korea face some of the steepest old-age dependency ratios in recorded history; and most of Europe is at or below replacement fertility.</w:t>
      </w:r>
      <w:r>
        <w:rPr>
          <w:rStyle w:val="FootnoteReference"/>
        </w:rPr>
        <w:footnoteReference w:id="8"/>
      </w:r>
      <w:r>
        <w:rPr>
          <w:rFonts w:ascii="Arial" w:cs="Arial" w:eastAsia="Arial" w:hAnsi="Arial"/>
          <w:color w:val="1A1A1A"/>
          <w:sz w:val="22"/>
          <w:szCs w:val="22"/>
        </w:rPr>
        <w:t xml:space="preserve"> Roughly a third of global GDP is produced by economies whose labour force is now contracting, not growing.</w:t>
      </w:r>
    </w:p>
    <w:p>
      <w:pPr>
        <w:spacing w:after="200" w:line="320"/>
      </w:pPr>
      <w:r>
        <w:rPr>
          <w:rFonts w:ascii="Arial" w:cs="Arial" w:eastAsia="Arial" w:hAnsi="Arial"/>
          <w:color w:val="1A1A1A"/>
          <w:sz w:val="22"/>
          <w:szCs w:val="22"/>
        </w:rPr>
        <w:t xml:space="preserve">This does not invalidate the thesis, but it changes its mechanism. The Theseus Trajectory implicitly assumes that Physical AI and robotics (Section 3.2) substitute for missing workers in ageing economies at roughly the same pace that human capital expands in youthful ones. That substitution is plausible — it is the same logic underpinning the +5% AI &amp; Automation growth engine in Section 2.3 — but it is a load-bearing assumption, not a footnote, and it should be treated as one. Section 2.6 makes this substitution requirement explicit and quantified, rather than leaving it as a qualitative aside. Where automation substitution lags population decline, the realistic outcome is closer to the Fragmented Transition scenario (Section 7.1) than the Golden Path, since ageing economies retain political and financial weight even as their labour force shrinks.</w:t>
      </w:r>
    </w:p>
    <w:p>
      <w:r>
        <w:br w:type="page"/>
      </w:r>
    </w:p>
    <w:p>
      <w:pPr>
        <w:pStyle w:val="Heading1"/>
        <w:spacing w:after="160" w:before="480"/>
      </w:pPr>
      <w:r>
        <w:rPr>
          <w:rFonts w:ascii="Arial" w:cs="Arial" w:eastAsia="Arial" w:hAnsi="Arial"/>
          <w:b/>
          <w:bCs/>
          <w:color w:val="0A2540"/>
          <w:sz w:val="36"/>
          <w:szCs w:val="36"/>
        </w:rPr>
        <w:t xml:space="preserve">2.0 · The Acceleration Reality</w:t>
      </w:r>
    </w:p>
    <w:p>
      <w:pPr>
        <w:pStyle w:val="Heading2"/>
        <w:spacing w:after="120" w:before="320"/>
      </w:pPr>
      <w:r>
        <w:rPr>
          <w:rFonts w:ascii="Arial" w:cs="Arial" w:eastAsia="Arial" w:hAnsi="Arial"/>
          <w:b/>
          <w:bCs/>
          <w:color w:val="0A2540"/>
          <w:sz w:val="26"/>
          <w:szCs w:val="26"/>
        </w:rPr>
        <w:t xml:space="preserve">2.1 The Exponential Curve</w:t>
      </w:r>
    </w:p>
    <w:p>
      <w:pPr>
        <w:spacing w:after="200" w:line="320"/>
      </w:pPr>
      <w:r>
        <w:rPr>
          <w:rFonts w:ascii="Arial" w:cs="Arial" w:eastAsia="Arial" w:hAnsi="Arial"/>
          <w:color w:val="1A1A1A"/>
          <w:sz w:val="22"/>
          <w:szCs w:val="22"/>
        </w:rPr>
        <w:t xml:space="preserve">Two years ago, no one knew DeepSeek or Claude. Today, they are reshaping industries. The pace of change is not linear — it is exponential and accelerating. This is not speculation; it is empirical observation of the past decade.</w:t>
      </w:r>
    </w:p>
    <w:p>
      <w:pPr>
        <w:spacing w:after="200" w:line="320"/>
      </w:pPr>
      <w:r>
        <w:rPr>
          <w:rFonts w:ascii="Arial" w:cs="Arial" w:eastAsia="Arial" w:hAnsi="Arial"/>
          <w:color w:val="1A1A1A"/>
          <w:sz w:val="22"/>
          <w:szCs w:val="22"/>
        </w:rPr>
        <w:t xml:space="preserve">One caveat applies to every projection in this paper, not only the ones near the end: of the six technologies below, fusion's 2030 commercialisation timeline is the single largest source of uncertainty. AI, robotics, and bio-economy projections rest on trends already visible in deployed systems; fusion rests on engineering milestones (net-positive energy at commercial, not experimental, scale) that have not yet been reached by any programme. Where this paper's later-year figures assume fusion arrives on schedule, that assumption — more than any other — is the one to discount first.</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498"/>
        <w:gridCol w:w="2434"/>
        <w:gridCol w:w="2714"/>
        <w:gridCol w:w="2714"/>
      </w:tblGrid>
      <w:tr>
        <w:trPr>
          <w:tblHeader/>
        </w:trPr>
        <w:tc>
          <w:tcPr>
            <w:tcW w:type="dxa" w:w="149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Technology</w:t>
            </w:r>
          </w:p>
        </w:tc>
        <w:tc>
          <w:tcPr>
            <w:tcW w:type="dxa" w:w="243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2024 Status</w:t>
            </w:r>
          </w:p>
        </w:tc>
        <w:tc>
          <w:tcPr>
            <w:tcW w:type="dxa" w:w="271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Status</w:t>
            </w:r>
          </w:p>
        </w:tc>
        <w:tc>
          <w:tcPr>
            <w:tcW w:type="dxa" w:w="271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2030 Projection</w:t>
            </w:r>
          </w:p>
        </w:tc>
      </w:tr>
      <w:tr>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Models</w:t>
            </w:r>
          </w:p>
        </w:tc>
        <w:tc>
          <w:tcPr>
            <w:tcW w:type="dxa" w:w="243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GPT-4, Claude 2</w:t>
            </w:r>
          </w:p>
        </w:tc>
        <w:tc>
          <w:tcPr>
            <w:tcW w:type="dxa" w:w="27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DeepSeek, Claude 3.5, GPT-5</w:t>
            </w:r>
          </w:p>
        </w:tc>
        <w:tc>
          <w:tcPr>
            <w:tcW w:type="dxa" w:w="27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with PhD-level reasoning across all domains</w:t>
            </w:r>
          </w:p>
        </w:tc>
      </w:tr>
      <w:tr>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Physical AI</w:t>
            </w:r>
          </w:p>
        </w:tc>
        <w:tc>
          <w:tcPr>
            <w:tcW w:type="dxa" w:w="243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Prototype humanoids</w:t>
            </w:r>
          </w:p>
        </w:tc>
        <w:tc>
          <w:tcPr>
            <w:tcW w:type="dxa" w:w="27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Figure AI in factory operations</w:t>
            </w:r>
          </w:p>
        </w:tc>
        <w:tc>
          <w:tcPr>
            <w:tcW w:type="dxa" w:w="27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Humanoid robots in mass production</w:t>
            </w:r>
          </w:p>
        </w:tc>
      </w:tr>
      <w:tr>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Nuclear Fusion</w:t>
            </w:r>
          </w:p>
        </w:tc>
        <w:tc>
          <w:tcPr>
            <w:tcW w:type="dxa" w:w="243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Net-positive experiments (NIF, JET)</w:t>
            </w:r>
          </w:p>
        </w:tc>
        <w:tc>
          <w:tcPr>
            <w:tcW w:type="dxa" w:w="27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Multiple prototypes (SPARC, ITER) nearing commercial operation</w:t>
            </w:r>
          </w:p>
        </w:tc>
        <w:tc>
          <w:tcPr>
            <w:tcW w:type="dxa" w:w="27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First commercial fusion plants online</w:t>
            </w:r>
          </w:p>
        </w:tc>
      </w:tr>
      <w:tr>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Bio-Economy</w:t>
            </w:r>
          </w:p>
        </w:tc>
        <w:tc>
          <w:tcPr>
            <w:tcW w:type="dxa" w:w="243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AI-assisted drug discovery</w:t>
            </w:r>
          </w:p>
        </w:tc>
        <w:tc>
          <w:tcPr>
            <w:tcW w:type="dxa" w:w="27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AI-designed drugs in clinical trials</w:t>
            </w:r>
          </w:p>
        </w:tc>
        <w:tc>
          <w:tcPr>
            <w:tcW w:type="dxa" w:w="27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AI-designed therapeutics in Phase III; bio-manufacturing scaled</w:t>
            </w:r>
          </w:p>
        </w:tc>
      </w:tr>
      <w:tr>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Space Economy</w:t>
            </w:r>
          </w:p>
        </w:tc>
        <w:tc>
          <w:tcPr>
            <w:tcW w:type="dxa" w:w="243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SpaceX Starship tests</w:t>
            </w:r>
          </w:p>
        </w:tc>
        <w:tc>
          <w:tcPr>
            <w:tcW w:type="dxa" w:w="27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Orbital infrastructure</w:t>
            </w:r>
          </w:p>
        </w:tc>
        <w:tc>
          <w:tcPr>
            <w:tcW w:type="dxa" w:w="27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First asteroid mining missions</w:t>
            </w:r>
          </w:p>
        </w:tc>
      </w:tr>
      <w:tr>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Quantum Computing</w:t>
            </w:r>
          </w:p>
        </w:tc>
        <w:tc>
          <w:tcPr>
            <w:tcW w:type="dxa" w:w="243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Noisy intermediate-scale</w:t>
            </w:r>
          </w:p>
        </w:tc>
        <w:tc>
          <w:tcPr>
            <w:tcW w:type="dxa" w:w="27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Error-corrected prototypes</w:t>
            </w:r>
          </w:p>
        </w:tc>
        <w:tc>
          <w:tcPr>
            <w:tcW w:type="dxa" w:w="27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Commercial quantum advantage in select domains</w:t>
            </w:r>
          </w:p>
        </w:tc>
      </w:tr>
    </w:tbl>
    <w:p>
      <w:pPr>
        <w:spacing w:after="240"/>
      </w:pPr>
      <w:r>
        <w:t xml:space="preserve"/>
      </w:r>
    </w:p>
    <w:p>
      <w:pPr>
        <w:pStyle w:val="Heading2"/>
        <w:spacing w:after="120" w:before="320"/>
      </w:pPr>
      <w:r>
        <w:rPr>
          <w:rFonts w:ascii="Arial" w:cs="Arial" w:eastAsia="Arial" w:hAnsi="Arial"/>
          <w:b/>
          <w:bCs/>
          <w:color w:val="0A2540"/>
          <w:sz w:val="26"/>
          <w:szCs w:val="26"/>
        </w:rPr>
        <w:t xml:space="preserve">2.2 The Investment Landscape</w:t>
      </w:r>
    </w:p>
    <w:p>
      <w:pPr>
        <w:spacing w:after="200" w:line="320"/>
      </w:pPr>
      <w:r>
        <w:rPr>
          <w:rFonts w:ascii="Arial" w:cs="Arial" w:eastAsia="Arial" w:hAnsi="Arial"/>
          <w:color w:val="1A1A1A"/>
          <w:sz w:val="22"/>
          <w:szCs w:val="22"/>
        </w:rPr>
        <w:t xml:space="preserve">To realise the $1Q trajectory, the following investment commitments are required: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AI Infrastructure: $1–2 trillion globally over the next decade for compute, data, and model development.</w:t>
      </w:r>
      <w:r>
        <w:rPr>
          <w:rStyle w:val="FootnoteReference"/>
        </w:rPr>
        <w:footnoteReference w:id="9"/>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Energy Transition: $5+ trillion annually is required for solar, wind, storage, grid, and fusion infrastructure.</w:t>
      </w:r>
      <w:r>
        <w:rPr>
          <w:rStyle w:val="FootnoteReference"/>
        </w:rPr>
        <w:footnoteReference w:id="10"/>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Bio-Economy: $500 billion–1 trillion in R&amp;D and scale-up capital.</w:t>
      </w:r>
      <w:r>
        <w:rPr>
          <w:rStyle w:val="FootnoteReference"/>
        </w:rPr>
        <w:footnoteReference w:id="11"/>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Space and Ocean: $500 billion–1 trillion for exploration, extraction, and infrastructure.</w:t>
      </w:r>
    </w:p>
    <w:p>
      <w:pPr>
        <w:spacing w:after="160"/>
      </w:pPr>
      <w:r>
        <w:t xml:space="preserve"/>
      </w:r>
    </w:p>
    <w:p>
      <w:pPr>
        <w:pStyle w:val="Heading2"/>
        <w:spacing w:after="120" w:before="320"/>
      </w:pPr>
      <w:r>
        <w:rPr>
          <w:rFonts w:ascii="Arial" w:cs="Arial" w:eastAsia="Arial" w:hAnsi="Arial"/>
          <w:b/>
          <w:bCs/>
          <w:color w:val="0A2540"/>
          <w:sz w:val="26"/>
          <w:szCs w:val="26"/>
        </w:rPr>
        <w:t xml:space="preserve">2.3 The Exponential Math</w:t>
      </w:r>
    </w:p>
    <w:p>
      <w:pPr>
        <w:spacing w:after="200" w:line="320"/>
      </w:pPr>
      <w:r>
        <w:rPr>
          <w:rFonts w:ascii="Arial" w:cs="Arial" w:eastAsia="Arial" w:hAnsi="Arial"/>
          <w:color w:val="1A1A1A"/>
          <w:sz w:val="22"/>
          <w:szCs w:val="22"/>
        </w:rPr>
        <w:t xml:space="preserve">The $1Q trajectory is powered by compounding forces, each benchmarked against a comparable historical episode</w:t>
      </w:r>
      <w:r>
        <w:rPr>
          <w:rStyle w:val="FootnoteReference"/>
        </w:rPr>
        <w:footnoteReference w:id="12"/>
      </w:r>
      <w:r>
        <w:rPr>
          <w:rFonts w:ascii="Arial" w:cs="Arial" w:eastAsia="Arial" w:hAnsi="Arial"/>
          <w:color w:val="1A1A1A"/>
          <w:sz w:val="22"/>
          <w:szCs w:val="22"/>
        </w:rPr>
        <w:t xml:space="preserve">:</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1685"/>
        <w:gridCol w:w="5429"/>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Growth Engine</w:t>
            </w:r>
          </w:p>
        </w:tc>
        <w:tc>
          <w:tcPr>
            <w:tcW w:type="dxa" w:w="168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Annual Contribution</w:t>
            </w:r>
          </w:p>
        </w:tc>
        <w:tc>
          <w:tcPr>
            <w:tcW w:type="dxa" w:w="542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Rationale</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&amp; Automation</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+5%</w:t>
            </w:r>
          </w:p>
        </w:tc>
        <w:tc>
          <w:tcPr>
            <w:tcW w:type="dxa" w:w="542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Productivity uplift across every sector; $4.4T annual economic uplift by 2030</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Energy Savings</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w:t>
            </w:r>
          </w:p>
        </w:tc>
        <w:tc>
          <w:tcPr>
            <w:tcW w:type="dxa" w:w="542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Near-zero marginal cost energy unlocks new production possibilities</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Connectivity</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w:t>
            </w:r>
          </w:p>
        </w:tc>
        <w:tc>
          <w:tcPr>
            <w:tcW w:type="dxa" w:w="542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Digital infrastructure expands markets and reduces transaction costs</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AI-Driven Innovation</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+5%</w:t>
            </w:r>
          </w:p>
        </w:tc>
        <w:tc>
          <w:tcPr>
            <w:tcW w:type="dxa" w:w="542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accelerates R&amp;D across every domain</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Emerging Markets</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w:t>
            </w:r>
          </w:p>
        </w:tc>
        <w:tc>
          <w:tcPr>
            <w:tcW w:type="dxa" w:w="542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India, ASEAN, and Africa add $30T+ to global GDP by 2040</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Total Effective Growth</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+17%</w:t>
            </w:r>
          </w:p>
        </w:tc>
        <w:tc>
          <w:tcPr>
            <w:tcW w:type="dxa" w:w="542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Theseus Growth Rate</w:t>
            </w:r>
          </w:p>
        </w:tc>
      </w:tr>
    </w:tbl>
    <w:p>
      <w:pPr>
        <w:spacing w:after="200"/>
      </w:pPr>
      <w:r>
        <w:t xml:space="preserve"/>
      </w:r>
    </w:p>
    <w:p>
      <w:pPr>
        <w:spacing w:after="200" w:line="320"/>
      </w:pPr>
      <w:r>
        <w:rPr>
          <w:rFonts w:ascii="Arial" w:cs="Arial" w:eastAsia="Arial" w:hAnsi="Arial"/>
          <w:b/>
          <w:bCs/>
          <w:color w:val="1A1A1A"/>
          <w:sz w:val="22"/>
          <w:szCs w:val="22"/>
        </w:rPr>
        <w:t xml:space="preserve">The Calculation</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2026 GDP: $105T</w:t>
      </w:r>
      <w:r>
        <w:rPr>
          <w:rStyle w:val="FootnoteReference"/>
        </w:rPr>
        <w:footnoteReference w:id="13"/>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At 17% growth: ~$200T (2030) → ~$730T (2038) → ~$1.1Q (2042)</w:t>
      </w:r>
    </w:p>
    <w:p>
      <w:pPr>
        <w:spacing w:after="240"/>
      </w:pPr>
      <w:r>
        <w:t xml:space="preserve"/>
      </w:r>
    </w:p>
    <w:p>
      <w:pPr>
        <w:pStyle w:val="Heading2"/>
        <w:spacing w:after="120" w:before="320"/>
      </w:pPr>
      <w:r>
        <w:rPr>
          <w:rFonts w:ascii="Arial" w:cs="Arial" w:eastAsia="Arial" w:hAnsi="Arial"/>
          <w:b/>
          <w:bCs/>
          <w:color w:val="0A2540"/>
          <w:sz w:val="26"/>
          <w:szCs w:val="26"/>
        </w:rPr>
        <w:t xml:space="preserve">2.4 Sensitivity Analysis: Four Growth Scenarios</w:t>
      </w:r>
    </w:p>
    <w:p>
      <w:pPr>
        <w:spacing w:after="200" w:line="320"/>
      </w:pPr>
      <w:r>
        <w:rPr>
          <w:rFonts w:ascii="Arial" w:cs="Arial" w:eastAsia="Arial" w:hAnsi="Arial"/>
          <w:color w:val="1A1A1A"/>
          <w:sz w:val="22"/>
          <w:szCs w:val="22"/>
        </w:rPr>
        <w:t xml:space="preserve">The 17% “Theseus Growth Rate” in Section 2.3 is a compounding sum of five engines firing simultaneously and without material drag.</w:t>
      </w:r>
      <w:r>
        <w:rPr>
          <w:rStyle w:val="FootnoteReference"/>
        </w:rPr>
        <w:footnoteReference w:id="14"/>
      </w:r>
      <w:r>
        <w:rPr>
          <w:rFonts w:ascii="Arial" w:cs="Arial" w:eastAsia="Arial" w:hAnsi="Arial"/>
          <w:color w:val="1A1A1A"/>
          <w:sz w:val="22"/>
          <w:szCs w:val="22"/>
        </w:rPr>
        <w:t xml:space="preserve"> That is an optimistic case, not a base case, and presenting it alone would overstate the thesis's precision. The table below shows four scenarios rather than one: a Conservative case, a Base case intended for actual planning purposes, the Optimistic case modelled throughout the rest of this paper, and a Stretch case shown for completeness rather than as a target to plan against.</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217"/>
        <w:gridCol w:w="4961"/>
        <w:gridCol w:w="1591"/>
        <w:gridCol w:w="1591"/>
      </w:tblGrid>
      <w:tr>
        <w:trPr>
          <w:tblHeader/>
        </w:trPr>
        <w:tc>
          <w:tcPr>
            <w:tcW w:type="dxa" w:w="121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Growth Rate</w:t>
            </w:r>
          </w:p>
        </w:tc>
        <w:tc>
          <w:tcPr>
            <w:tcW w:type="dxa" w:w="496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w:t>
            </w:r>
          </w:p>
        </w:tc>
        <w:tc>
          <w:tcPr>
            <w:tcW w:type="dxa" w:w="159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2040 GDP</w:t>
            </w:r>
          </w:p>
        </w:tc>
        <w:tc>
          <w:tcPr>
            <w:tcW w:type="dxa" w:w="159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2045 GDP</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12%</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Conservative — partial engine failure, meaningful drag from the Five Filters</w:t>
            </w:r>
          </w:p>
        </w:tc>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~$450T</w:t>
            </w:r>
          </w:p>
        </w:tc>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~$800T</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15%</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Base Case — most engines fire; governance and distribution frictions persist. Recommended planning assumption.</w:t>
            </w:r>
          </w:p>
        </w:tc>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~$700T</w:t>
            </w:r>
          </w:p>
        </w:tc>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~$1.4Q</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17%</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Optimistic — all five engines compound without material drag (modelled throughout this paper)</w:t>
            </w:r>
          </w:p>
        </w:tc>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~$1.1Q</w:t>
            </w:r>
          </w:p>
        </w:tc>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~$2.4Q</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Stretch — the five engines compound and reinforce each other (positive interaction, not just independence). Shown for completeness; not a planning assumption.</w:t>
            </w:r>
          </w:p>
        </w:tc>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~$1.4Q</w:t>
            </w:r>
          </w:p>
        </w:tc>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~$3.4Q</w:t>
            </w:r>
          </w:p>
        </w:tc>
      </w:tr>
    </w:tbl>
    <w:p>
      <w:pPr>
        <w:spacing w:after="60" w:before="160"/>
        <w:jc w:val="center"/>
      </w:pPr>
      <w:r>
        <w:drawing>
          <wp:inline distT="0" distB="0" distL="0" distR="0">
            <wp:extent cx="5943600" cy="3457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43600" cy="3457575"/>
                    </a:xfrm>
                    <a:prstGeom prst="rect">
                      <a:avLst/>
                    </a:prstGeom>
                  </pic:spPr>
                </pic:pic>
              </a:graphicData>
            </a:graphic>
          </wp:inline>
        </w:drawing>
      </w:r>
    </w:p>
    <w:p>
      <w:pPr>
        <w:spacing w:after="220"/>
        <w:jc w:val="center"/>
      </w:pPr>
      <w:r>
        <w:rPr>
          <w:rFonts w:ascii="Georgia" w:cs="Georgia" w:eastAsia="Georgia" w:hAnsi="Georgia"/>
          <w:i/>
          <w:iCs/>
          <w:color w:val="555555"/>
          <w:sz w:val="18"/>
          <w:szCs w:val="18"/>
        </w:rPr>
        <w:t xml:space="preserve">Figure 1. The four growth scenarios plotted from the 2026 baseline. Dashed lines mark the Conservative and Stretch bounds; the solid navy line is the recommended 15% planning base.</w:t>
      </w:r>
    </w:p>
    <w:p>
      <w:pPr>
        <w:spacing w:after="200" w:line="320"/>
      </w:pPr>
      <w:r>
        <w:rPr>
          <w:rFonts w:ascii="Arial" w:cs="Arial" w:eastAsia="Arial" w:hAnsi="Arial"/>
          <w:color w:val="1A1A1A"/>
          <w:sz w:val="22"/>
          <w:szCs w:val="22"/>
        </w:rPr>
        <w:t xml:space="preserve">Historical precedent for multi-decade compounding at this level is thin</w:t>
      </w:r>
      <w:r>
        <w:rPr>
          <w:rStyle w:val="FootnoteReference"/>
        </w:rPr>
        <w:footnoteReference w:id="15"/>
      </w:r>
      <w:r>
        <w:rPr>
          <w:rFonts w:ascii="Arial" w:cs="Arial" w:eastAsia="Arial" w:hAnsi="Arial"/>
          <w:color w:val="1A1A1A"/>
          <w:sz w:val="22"/>
          <w:szCs w:val="22"/>
        </w:rPr>
        <w:t xml:space="preserve"> — post-WWII reconstruction and China's 1980–2010 boom are the closest comparators, and both were shorter and more context-specific than the 19-year window modelled here. That comparison is treated in full in Appendix A.4, not asserted here without support.</w:t>
      </w:r>
    </w:p>
    <w:p>
      <w:pPr>
        <w:spacing w:after="200" w:line="320"/>
      </w:pPr>
      <w:r>
        <w:rPr>
          <w:rFonts w:ascii="Arial" w:cs="Arial" w:eastAsia="Arial" w:hAnsi="Arial"/>
          <w:color w:val="1A1A1A"/>
          <w:sz w:val="22"/>
          <w:szCs w:val="22"/>
        </w:rPr>
        <w:t xml:space="preserve">Three things follow from this range. First, even the conservative case delivers a global economy roughly 4.5× larger than today's by 2045 — the broad thesis that exponential technology reshapes the size of the pie holds across all four scenarios, not just the optimistic ones. Second, the gap between ~$800T and ~$3.4Q by 2045 is almost entirely explained by how well the Five Filters (Section 5.0) are managed, not by any additional technological uncertainty — Section 5.7 quantifies this filter-by-filter. Third, the Stretch case is not a claim that the engines can exceed their individually estimated contributions — it assumes the same five engines from Section 2.3, but with positive reinforcement between them (for example, AI-accelerated fusion R&amp;D shortening the energy transition, which in turn cheapens the compute behind further AI progress) rather than the simple independence assumed at 17%. That is a real possibility, not a rounding difference, but it is speculative enough that it belongs in a sensitivity table rather than the Executive Summary.</w:t>
      </w:r>
    </w:p>
    <w:p>
      <w:pPr>
        <w:spacing w:after="200" w:line="320"/>
      </w:pPr>
      <w:r>
        <w:rPr>
          <w:rFonts w:ascii="Arial" w:cs="Arial" w:eastAsia="Arial" w:hAnsi="Arial"/>
          <w:color w:val="1A1A1A"/>
          <w:sz w:val="22"/>
          <w:szCs w:val="22"/>
        </w:rPr>
        <w:t xml:space="preserve">This paper's recommended base case for planning purposes is 15%, with 17% as the upside case the Golden Path scenario (Section 7.1) requires and 20% as an aspirational ceiling consistent with the North Star framing in Section 9.0 — a target to orient toward, not a figure to budget against.</w:t>
      </w:r>
    </w:p>
    <w:p>
      <w:r>
        <w:br w:type="page"/>
      </w:r>
    </w:p>
    <w:p>
      <w:pPr>
        <w:pStyle w:val="Heading2"/>
        <w:spacing w:after="120" w:before="320"/>
      </w:pPr>
      <w:r>
        <w:rPr>
          <w:rFonts w:ascii="Arial" w:cs="Arial" w:eastAsia="Arial" w:hAnsi="Arial"/>
          <w:b/>
          <w:bCs/>
          <w:color w:val="0A2540"/>
          <w:sz w:val="26"/>
          <w:szCs w:val="26"/>
        </w:rPr>
        <w:t xml:space="preserve">2.5 Growth Sensitivity to Key Variables</w:t>
      </w:r>
    </w:p>
    <w:p>
      <w:pPr>
        <w:spacing w:after="200" w:line="320"/>
      </w:pPr>
      <w:r>
        <w:rPr>
          <w:rFonts w:ascii="Arial" w:cs="Arial" w:eastAsia="Arial" w:hAnsi="Arial"/>
          <w:color w:val="1A1A1A"/>
          <w:sz w:val="22"/>
          <w:szCs w:val="22"/>
        </w:rPr>
        <w:t xml:space="preserve">Rather than only naming scenarios, this section stress-tests the base case against four specific, named shocks — the concrete version of the question “what happens if a single assumption breaks.”</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2808"/>
        <w:gridCol w:w="1498"/>
        <w:gridCol w:w="2808"/>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Shock</w:t>
            </w:r>
          </w:p>
        </w:tc>
        <w:tc>
          <w:tcPr>
            <w:tcW w:type="dxa" w:w="280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Mechanism</w:t>
            </w:r>
          </w:p>
        </w:tc>
        <w:tc>
          <w:tcPr>
            <w:tcW w:type="dxa" w:w="149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Resulting Growth Rate</w:t>
            </w:r>
          </w:p>
        </w:tc>
        <w:tc>
          <w:tcPr>
            <w:tcW w:type="dxa" w:w="280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2045 GDP</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Fusion commercialisation delayed 5 years (to ~2038)</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Energy Savings engine (+3%) effectively halved until fusion reaches scale</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~13%</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~$1.1Q</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&amp; Automation productivity gains undershoot by half</w:t>
            </w:r>
          </w:p>
        </w:tc>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&amp; Automation engine (+5%) reduced to +2.5%</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~12.5%</w:t>
            </w:r>
          </w:p>
        </w:tc>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~$980T</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Emerging-market growth stalls (India/ASEAN/Africa)</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Emerging Markets engine (+3%) falls to ~0%</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~12%</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~$900T — converges with the Conservative case above</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Positive reinforcement materialises across all five engines</w:t>
            </w:r>
          </w:p>
        </w:tc>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Engines compound rather than simply add</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w:t>
            </w:r>
          </w:p>
        </w:tc>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~$3.4Q — matches the Stretch case above</w:t>
            </w:r>
          </w:p>
        </w:tc>
      </w:tr>
    </w:tbl>
    <w:p>
      <w:pPr>
        <w:spacing w:after="160"/>
      </w:pPr>
      <w:r>
        <w:t xml:space="preserve"/>
      </w:r>
    </w:p>
    <w:p>
      <w:pPr>
        <w:spacing w:after="200" w:line="320"/>
      </w:pPr>
      <w:r>
        <w:rPr>
          <w:rFonts w:ascii="Arial" w:cs="Arial" w:eastAsia="Arial" w:hAnsi="Arial"/>
          <w:color w:val="1A1A1A"/>
          <w:sz w:val="22"/>
          <w:szCs w:val="22"/>
        </w:rPr>
        <w:t xml:space="preserve">Figures computed via the same compounding formula used throughout this paper</w:t>
      </w:r>
      <w:r>
        <w:rPr>
          <w:rStyle w:val="FootnoteReference"/>
        </w:rPr>
        <w:footnoteReference w:id="17"/>
      </w:r>
      <w:r>
        <w:rPr>
          <w:rFonts w:ascii="Arial" w:cs="Arial" w:eastAsia="Arial" w:hAnsi="Arial"/>
          <w:color w:val="1A1A1A"/>
          <w:sz w:val="22"/>
          <w:szCs w:val="22"/>
        </w:rPr>
        <w:t xml:space="preserve"> — the point of this table is that a single-engine failure (fusion delay, or AI productivity undershoot) is roughly as damaging as losing the entire Emerging Markets engine, which is a useful gut-check on where the real fragility in the model sits: energy and AI productivity, not emerging-market growth.</w:t>
      </w:r>
    </w:p>
    <w:p>
      <w:r>
        <w:br w:type="page"/>
      </w:r>
    </w:p>
    <w:p>
      <w:pPr>
        <w:pStyle w:val="Heading2"/>
        <w:spacing w:after="120" w:before="320"/>
      </w:pPr>
      <w:r>
        <w:rPr>
          <w:rFonts w:ascii="Arial" w:cs="Arial" w:eastAsia="Arial" w:hAnsi="Arial"/>
          <w:b/>
          <w:bCs/>
          <w:color w:val="0A2540"/>
          <w:sz w:val="26"/>
          <w:szCs w:val="26"/>
        </w:rPr>
        <w:t xml:space="preserve">2.6 Demographic Substitution Elasticity</w:t>
      </w:r>
    </w:p>
    <w:p>
      <w:pPr>
        <w:spacing w:after="200" w:line="320"/>
      </w:pPr>
      <w:r>
        <w:rPr>
          <w:rFonts w:ascii="Arial" w:cs="Arial" w:eastAsia="Arial" w:hAnsi="Arial"/>
          <w:color w:val="1A1A1A"/>
          <w:sz w:val="22"/>
          <w:szCs w:val="22"/>
        </w:rPr>
        <w:t xml:space="preserve">Section 1.2.5 named the risk in words: population decline in several major economies competes with the demographic dividend this paper also relies on. This section makes the same point in numbers, at an illustrative level of precision — a full labour-augmenting production-function estimate is a project for a future version of this paper, not this one (see Appendix A.6).</w:t>
      </w:r>
    </w:p>
    <w:p>
      <w:pPr>
        <w:spacing w:after="200" w:line="320"/>
      </w:pPr>
      <w:r>
        <w:rPr>
          <w:rFonts w:ascii="Arial" w:cs="Arial" w:eastAsia="Arial" w:hAnsi="Arial"/>
          <w:color w:val="1A1A1A"/>
          <w:sz w:val="22"/>
          <w:szCs w:val="22"/>
        </w:rPr>
        <w:t xml:space="preserve">The logic is simple: if a working-age population shrinks by X% per year, roughly X percentage points of the +5% AI &amp; Automation engine (Section 2.3) must be “spent” just holding output constant per capita, before any of that engine's contribution becomes net-additive growth.</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2246"/>
        <w:gridCol w:w="2246"/>
        <w:gridCol w:w="2621"/>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Economy Bloc</w:t>
            </w:r>
          </w:p>
        </w:tc>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Working-Age Population Trend</w:t>
            </w:r>
          </w:p>
        </w:tc>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AI/Robotics “Spent” Offsetting Decline</w:t>
            </w:r>
          </w:p>
        </w:tc>
        <w:tc>
          <w:tcPr>
            <w:tcW w:type="dxa" w:w="262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Net-Additive Share of the +5% Engine</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China</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~−0.5%/year</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~0.5 pp</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~4.5 pp remains net-additive</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Japan &amp; South Korea</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~−0.9%/year</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~0.9 pp</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~4.1 pp remains net-additive</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Europe (EU-27)</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~−0.3%/year</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~0.3 pp</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~4.7 pp remains net-additive</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India, ASEAN, Africa</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~+0.8%/year (expanding)</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None required</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Full +5 pp net-additive, plus the separate +3% Emerging Markets engine</w:t>
            </w:r>
          </w:p>
        </w:tc>
      </w:tr>
    </w:tbl>
    <w:p>
      <w:pPr>
        <w:spacing w:after="160"/>
      </w:pPr>
      <w:r>
        <w:t xml:space="preserve"/>
      </w:r>
    </w:p>
    <w:p>
      <w:pPr>
        <w:spacing w:after="200" w:line="320"/>
      </w:pPr>
      <w:r>
        <w:rPr>
          <w:rFonts w:ascii="Arial" w:cs="Arial" w:eastAsia="Arial" w:hAnsi="Arial"/>
          <w:color w:val="1A1A1A"/>
          <w:sz w:val="22"/>
          <w:szCs w:val="22"/>
        </w:rPr>
        <w:t xml:space="preserve">This is why the paper treats the demographic dividend and the AI &amp; Automation engine as related, not independent, assumptions</w:t>
      </w:r>
      <w:r>
        <w:rPr>
          <w:rStyle w:val="FootnoteReference"/>
        </w:rPr>
        <w:footnoteReference w:id="18"/>
      </w:r>
      <w:r>
        <w:rPr>
          <w:rFonts w:ascii="Arial" w:cs="Arial" w:eastAsia="Arial" w:hAnsi="Arial"/>
          <w:color w:val="1A1A1A"/>
          <w:sz w:val="22"/>
          <w:szCs w:val="22"/>
        </w:rPr>
        <w:t xml:space="preserve">: in ageing economies, a meaningful share of the AI engine's headline contribution is defensive (offsetting labour decline) rather than expansive (adding new growth). The +5% figure in Section 2.3 is a global blend across exactly this mix of ageing and expanding economies — it is not equally “net” everywhere it applies.</w:t>
      </w:r>
    </w:p>
    <w:p>
      <w:r>
        <w:br w:type="page"/>
      </w:r>
    </w:p>
    <w:p>
      <w:pPr>
        <w:pStyle w:val="Heading1"/>
        <w:spacing w:after="160" w:before="480"/>
      </w:pPr>
      <w:r>
        <w:rPr>
          <w:rFonts w:ascii="Arial" w:cs="Arial" w:eastAsia="Arial" w:hAnsi="Arial"/>
          <w:b/>
          <w:bCs/>
          <w:color w:val="0A2540"/>
          <w:sz w:val="36"/>
          <w:szCs w:val="36"/>
        </w:rPr>
        <w:t xml:space="preserve">3.0 · The Theseus Trajectory: A 15-Year Refit</w:t>
      </w:r>
    </w:p>
    <w:p>
      <w:pPr>
        <w:pStyle w:val="Heading2"/>
        <w:spacing w:after="120" w:before="320"/>
      </w:pPr>
      <w:r>
        <w:rPr>
          <w:rFonts w:ascii="Arial" w:cs="Arial" w:eastAsia="Arial" w:hAnsi="Arial"/>
          <w:b/>
          <w:bCs/>
          <w:color w:val="0A2540"/>
          <w:sz w:val="26"/>
          <w:szCs w:val="26"/>
        </w:rPr>
        <w:t xml:space="preserve">3.1 The Theseus Metaphor</w:t>
      </w:r>
    </w:p>
    <w:p>
      <w:pPr>
        <w:spacing w:after="200" w:line="320"/>
      </w:pPr>
      <w:r>
        <w:rPr>
          <w:rFonts w:ascii="Arial" w:cs="Arial" w:eastAsia="Arial" w:hAnsi="Arial"/>
          <w:color w:val="1A1A1A"/>
          <w:sz w:val="22"/>
          <w:szCs w:val="22"/>
        </w:rPr>
        <w:t xml:space="preserve">In Greek mythology, Theseus's ship was gradually replaced, plank by plank, while still sailing. Eventually, it contained no original material — yet remained “Theseus's ship.” This is the framing for the $1Q transition. We are not building a new economy from scratch. We are replacing every plank of the old economic order while it is still sailing — energy, finance, governance, labour, and production — without sinking the ship.</w:t>
      </w:r>
    </w:p>
    <w:p>
      <w:pPr>
        <w:spacing w:after="160"/>
      </w:pPr>
      <w:r>
        <w:t xml:space="preserve"/>
      </w:r>
    </w:p>
    <w:p>
      <w:pPr>
        <w:pStyle w:val="Heading2"/>
        <w:spacing w:after="120" w:before="320"/>
      </w:pPr>
      <w:r>
        <w:rPr>
          <w:rFonts w:ascii="Arial" w:cs="Arial" w:eastAsia="Arial" w:hAnsi="Arial"/>
          <w:b/>
          <w:bCs/>
          <w:color w:val="0A2540"/>
          <w:sz w:val="26"/>
          <w:szCs w:val="26"/>
        </w:rPr>
        <w:t xml:space="preserve">3.2 The Refit Framework</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995"/>
        <w:gridCol w:w="2995"/>
        <w:gridCol w:w="3370"/>
      </w:tblGrid>
      <w:tr>
        <w:trPr>
          <w:tblHeader/>
        </w:trPr>
        <w:tc>
          <w:tcPr>
            <w:tcW w:type="dxa" w:w="299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Old Plank (2026)</w:t>
            </w:r>
          </w:p>
        </w:tc>
        <w:tc>
          <w:tcPr>
            <w:tcW w:type="dxa" w:w="299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New Plank (2040)</w:t>
            </w:r>
          </w:p>
        </w:tc>
        <w:tc>
          <w:tcPr>
            <w:tcW w:type="dxa" w:w="337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The Theseus Challenge</w:t>
            </w:r>
          </w:p>
        </w:tc>
      </w:tr>
      <w:tr>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Energy: $6T fossil fuel market; high marginal cost; carbon-intensive; geopolitically concentrated.</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Fusion + Renewables: Near-zero marginal cost; abundant; clean; decentralised.</w:t>
            </w:r>
          </w:p>
        </w:tc>
        <w:tc>
          <w:tcPr>
            <w:tcW w:type="dxa" w:w="337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Retiring $6T in annual revenue and infrastructure without economic collapse; managing $10–20T in stranded assets.</w:t>
            </w:r>
          </w:p>
        </w:tc>
      </w:tr>
      <w:tr>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Labour: Human-centric; wage-based; limited by biology; constrained by 8-hour workdays.</w:t>
            </w:r>
          </w:p>
        </w:tc>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 Robotics: Physical AI as a new factor of production; 24/7/365 productivity; potentially unlimited supply.</w:t>
            </w:r>
          </w:p>
        </w:tc>
        <w:tc>
          <w:tcPr>
            <w:tcW w:type="dxa" w:w="337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Redefining work, income, and purpose; implementing new distribution models (UBI + equity).</w:t>
            </w:r>
          </w:p>
        </w:tc>
      </w:tr>
      <w:tr>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Finance: Centralised; slow; debt-heavy; quarterly-driven; capture-prone.</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AI-Optimised, Decentralised: Real-time risk pricing; algorithmic allocation; transparency.</w:t>
            </w:r>
          </w:p>
        </w:tc>
        <w:tc>
          <w:tcPr>
            <w:tcW w:type="dxa" w:w="337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Managing the $124T intergenerational wealth transfer and the $846T shadow economy.</w:t>
            </w:r>
          </w:p>
        </w:tc>
      </w:tr>
      <w:tr>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Production: Linear (take-make-waste); resource-intensive; environmentally destructive.</w:t>
            </w:r>
          </w:p>
        </w:tc>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Circular + Bio-Economy: Nature-inspired; waste-free; biomimetic; regenerative.</w:t>
            </w:r>
          </w:p>
        </w:tc>
        <w:tc>
          <w:tcPr>
            <w:tcW w:type="dxa" w:w="337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Scaling bio-manufacturing from lab to global supply chain; replacing plastics, metals, and petrochemicals.</w:t>
            </w:r>
          </w:p>
        </w:tc>
      </w:tr>
      <w:tr>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Geopolitics: Unipolar (US-led); globalised supply chains; post-WWII institutions.</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Multipolar, Resource-Based: New trade corridors (Indo-Pacific, ASEAN, Africa); regional blocs.</w:t>
            </w:r>
          </w:p>
        </w:tc>
        <w:tc>
          <w:tcPr>
            <w:tcW w:type="dxa" w:w="337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Preventing conflict over new frontiers (seabed, Arctic, asteroids); managing multipolar competition.</w:t>
            </w:r>
          </w:p>
        </w:tc>
      </w:tr>
      <w:tr>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Governance: Slow; bureaucratic; national; reactive; century-old frameworks.</w:t>
            </w:r>
          </w:p>
        </w:tc>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AI-Augmented, Layered: Local to planetary; proactive; adaptive; real-time.</w:t>
            </w:r>
          </w:p>
        </w:tc>
        <w:tc>
          <w:tcPr>
            <w:tcW w:type="dxa" w:w="337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Replacing century-old institutions with systems that can process AI-speed data; managing fragmented coordination.</w:t>
            </w:r>
          </w:p>
        </w:tc>
      </w:tr>
    </w:tbl>
    <w:p>
      <w:pPr>
        <w:spacing w:after="120"/>
      </w:pPr>
      <w:r>
        <w:t xml:space="preserve"/>
      </w:r>
    </w:p>
    <w:p>
      <w:pPr>
        <w:spacing w:after="200" w:line="320"/>
      </w:pPr>
      <w:r>
        <w:rPr>
          <w:rFonts w:ascii="Arial" w:cs="Arial" w:eastAsia="Arial" w:hAnsi="Arial"/>
          <w:color w:val="1A1A1A"/>
          <w:sz w:val="22"/>
          <w:szCs w:val="22"/>
        </w:rPr>
        <w:t xml:space="preserve">The Energy row above carries this paper's largest single point of failure: every other plank's timeline (labour substitution, finance, production) can slip gracefully, a year or two at a time, but the Finance and Production planks both assume fusion-driven energy abundance arrives on the Section 2.1 schedule. A multi-year fusion delay does not just push back the Energy row — it pushes back the Great Repricing (Section 5.3) that the Finance plank depends on.</w:t>
      </w:r>
    </w:p>
    <w:p>
      <w:pPr>
        <w:spacing w:after="200"/>
      </w:pPr>
      <w:r>
        <w:t xml:space="preserve"/>
      </w:r>
    </w:p>
    <w:p>
      <w:pPr>
        <w:spacing w:after="200" w:line="320"/>
      </w:pPr>
      <w:r>
        <w:rPr>
          <w:rFonts w:ascii="Arial" w:cs="Arial" w:eastAsia="Arial" w:hAnsi="Arial"/>
          <w:b/>
          <w:bCs/>
          <w:color w:val="1A1A1A"/>
          <w:sz w:val="22"/>
          <w:szCs w:val="22"/>
        </w:rPr>
        <w:t xml:space="preserve">Path Dependency: Why an Early Fragmented Transition Is Sticky</w:t>
      </w:r>
    </w:p>
    <w:p>
      <w:pPr>
        <w:spacing w:after="200" w:line="320"/>
      </w:pPr>
      <w:r>
        <w:rPr>
          <w:rFonts w:ascii="Arial" w:cs="Arial" w:eastAsia="Arial" w:hAnsi="Arial"/>
          <w:color w:val="1A1A1A"/>
          <w:sz w:val="22"/>
          <w:szCs w:val="22"/>
        </w:rPr>
        <w:t xml:space="preserve">The four scenarios in Section 7.1 are often read as a menu chosen once, near 2045. In practice, the Refit Framework above locks in early: a regulatory arbitrage pattern between blocs (Section 5.2) that hardens in the first five years becomes very costly to unwind after capital, talent, and supply chains have already re-sorted around it. A stranded-asset write-down deferred past the point in Section 5.3 where it can be orderly becomes a permanent fiscal drag rather than a one-time cost. And a resource claim contested early over seabed or asteroid rights (Filter 2, Section 5.2) sets a precedent that later claimants either match or escalate against — it rarely resets to neutral. The practical implication is that the difference between the Golden Path and Fragmented Transition scenarios is disproportionately determined in Phase 1 (2026–2029, Section 3.3), not evenly across all fifteen years. This paper's Call to Action is addressed to that window specifically.</w:t>
      </w:r>
    </w:p>
    <w:p>
      <w:pPr>
        <w:spacing w:after="160"/>
      </w:pPr>
      <w:r>
        <w:t xml:space="preserve"/>
      </w:r>
    </w:p>
    <w:p>
      <w:pPr>
        <w:pStyle w:val="Heading2"/>
        <w:spacing w:after="120" w:before="320"/>
      </w:pPr>
      <w:r>
        <w:rPr>
          <w:rFonts w:ascii="Arial" w:cs="Arial" w:eastAsia="Arial" w:hAnsi="Arial"/>
          <w:b/>
          <w:bCs/>
          <w:color w:val="0A2540"/>
          <w:sz w:val="26"/>
          <w:szCs w:val="26"/>
        </w:rPr>
        <w:t xml:space="preserve">3.3 Phased Implementation</w:t>
      </w:r>
    </w:p>
    <w:p>
      <w:pPr>
        <w:spacing w:after="200" w:line="320"/>
      </w:pPr>
      <w:r>
        <w:rPr>
          <w:rFonts w:ascii="Arial" w:cs="Arial" w:eastAsia="Arial" w:hAnsi="Arial"/>
          <w:color w:val="1A1A1A"/>
          <w:sz w:val="22"/>
          <w:szCs w:val="22"/>
        </w:rPr>
        <w:t xml:space="preserve">The Theseus Trajectory is not a single event. It is a 15-year, five-phase build cycle:</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1310"/>
        <w:gridCol w:w="5803"/>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Phase</w:t>
            </w:r>
          </w:p>
        </w:tc>
        <w:tc>
          <w:tcPr>
            <w:tcW w:type="dxa" w:w="131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Years</w:t>
            </w:r>
          </w:p>
        </w:tc>
        <w:tc>
          <w:tcPr>
            <w:tcW w:type="dxa" w:w="5803"/>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Strategic Objective</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1: The Awakening</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2026–2029</w:t>
            </w:r>
          </w:p>
        </w:tc>
        <w:tc>
          <w:tcPr>
            <w:tcW w:type="dxa" w:w="580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Establish frameworks; pilot programmes; build political will.</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Phase 2: The Build-Out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2029–2033</w:t>
            </w:r>
          </w:p>
        </w:tc>
        <w:tc>
          <w:tcPr>
            <w:tcW w:type="dxa" w:w="580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Commercialise fusion; scale AI; launch digital currencies.</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3: The Transition</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2033–2037</w:t>
            </w:r>
          </w:p>
        </w:tc>
        <w:tc>
          <w:tcPr>
            <w:tcW w:type="dxa" w:w="580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Peak fossil fuel; mass AI workforce; school transformation.</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Phase 4: The Acceleration</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2037–2041</w:t>
            </w:r>
          </w:p>
        </w:tc>
        <w:tc>
          <w:tcPr>
            <w:tcW w:type="dxa" w:w="580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Fusion at scale; wealth crosses $1Q; inequality declines.</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5: The Inflection</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2041–2045</w:t>
            </w:r>
          </w:p>
        </w:tc>
        <w:tc>
          <w:tcPr>
            <w:tcW w:type="dxa" w:w="580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Fusion majority; AI plurality; new economic paradigm established.</w:t>
            </w:r>
          </w:p>
        </w:tc>
      </w:tr>
    </w:tbl>
    <w:p>
      <w:r>
        <w:br w:type="page"/>
      </w:r>
    </w:p>
    <w:p>
      <w:pPr>
        <w:pStyle w:val="Heading1"/>
        <w:spacing w:after="160" w:before="480"/>
      </w:pPr>
      <w:r>
        <w:rPr>
          <w:rFonts w:ascii="Arial" w:cs="Arial" w:eastAsia="Arial" w:hAnsi="Arial"/>
          <w:b/>
          <w:bCs/>
          <w:color w:val="0A2540"/>
          <w:sz w:val="36"/>
          <w:szCs w:val="36"/>
        </w:rPr>
        <w:t xml:space="preserve">4.0 · The Balance Sheet of the New World (Pro Forma 2040)</w:t>
      </w:r>
    </w:p>
    <w:p>
      <w:pPr>
        <w:pStyle w:val="Heading2"/>
        <w:spacing w:after="120" w:before="320"/>
      </w:pPr>
      <w:r>
        <w:rPr>
          <w:rFonts w:ascii="Arial" w:cs="Arial" w:eastAsia="Arial" w:hAnsi="Arial"/>
          <w:b/>
          <w:bCs/>
          <w:color w:val="0A2540"/>
          <w:sz w:val="26"/>
          <w:szCs w:val="26"/>
        </w:rPr>
        <w:t xml:space="preserve">4.1 Projected Global Assets</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778"/>
        <w:gridCol w:w="1310"/>
        <w:gridCol w:w="1310"/>
        <w:gridCol w:w="4961"/>
      </w:tblGrid>
      <w:tr>
        <w:trPr>
          <w:tblHeader/>
        </w:trPr>
        <w:tc>
          <w:tcPr>
            <w:tcW w:type="dxa" w:w="177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Asset Class</w:t>
            </w:r>
          </w:p>
        </w:tc>
        <w:tc>
          <w:tcPr>
            <w:tcW w:type="dxa" w:w="131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Estimate</w:t>
            </w:r>
          </w:p>
        </w:tc>
        <w:tc>
          <w:tcPr>
            <w:tcW w:type="dxa" w:w="131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2040 Projection</w:t>
            </w:r>
          </w:p>
        </w:tc>
        <w:tc>
          <w:tcPr>
            <w:tcW w:type="dxa" w:w="496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Driver / Rationale</w:t>
            </w:r>
          </w:p>
        </w:tc>
      </w:tr>
      <w:tr>
        <w:tc>
          <w:tcPr>
            <w:tcW w:type="dxa" w:w="177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Real Estate</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~$393T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~$600T+</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Energy abundance makes marginal land (deserts, Arctic) valuable for fusion farms, data centres, and habitation.</w:t>
            </w:r>
          </w:p>
        </w:tc>
      </w:tr>
      <w:tr>
        <w:tc>
          <w:tcPr>
            <w:tcW w:type="dxa" w:w="177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Global Equities</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~$126T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~$400T+</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robotics, and bio-tech companies dominate; new IPOs (Anthropic, OpenAI, Figure AI, Jio, NSE) add trillions.</w:t>
            </w:r>
          </w:p>
        </w:tc>
      </w:tr>
      <w:tr>
        <w:tc>
          <w:tcPr>
            <w:tcW w:type="dxa" w:w="177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Debt Securities (Bonds)</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~$145T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~$300T+</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New “fusion bonds,” “green transition bonds,” and “bio-economy debt” replace fossil and stranded-asset debt.</w:t>
            </w:r>
          </w:p>
        </w:tc>
      </w:tr>
      <w:tr>
        <w:tc>
          <w:tcPr>
            <w:tcW w:type="dxa" w:w="177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Gold &amp; Precious Metals</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~$80T+</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Store of value during the “Great Repricing”; hedge against currency and institutional volatility.</w:t>
            </w:r>
          </w:p>
        </w:tc>
      </w:tr>
      <w:tr>
        <w:tc>
          <w:tcPr>
            <w:tcW w:type="dxa" w:w="177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&amp; Robotics IP</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~$4.4T (annual uplift)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~$50T+</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Physical AI becomes the new platform; platform providers (NVIDIA, Physical Intelligence) capture value.</w:t>
            </w:r>
          </w:p>
        </w:tc>
      </w:tr>
      <w:tr>
        <w:tc>
          <w:tcPr>
            <w:tcW w:type="dxa" w:w="177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Bio-Economy</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~$30T</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AI-designed drugs, materials, and foods scale; biomimicry replaces industrial chemistry.</w:t>
            </w:r>
          </w:p>
        </w:tc>
      </w:tr>
      <w:tr>
        <w:tc>
          <w:tcPr>
            <w:tcW w:type="dxa" w:w="177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Space &amp; Ocean Assets</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~$20T+</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Asteroid mining (Psyche 16), seabed nodules (lithium, cobalt), and orbital infrastructure come online.</w:t>
            </w:r>
          </w:p>
        </w:tc>
      </w:tr>
      <w:tr>
        <w:tc>
          <w:tcPr>
            <w:tcW w:type="dxa" w:w="177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Total Global Wealth</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~$600T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~$1.5Q</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Theseus trajectory more than doubles global wealth in 15 years, driven by new asset classes and repricing.</w:t>
            </w:r>
          </w:p>
        </w:tc>
      </w:tr>
    </w:tbl>
    <w:p>
      <w:pPr>
        <w:spacing w:after="60" w:before="160"/>
        <w:jc w:val="center"/>
      </w:pPr>
      <w:r>
        <w:drawing>
          <wp:inline distT="0" distB="0" distL="0" distR="0">
            <wp:extent cx="5943600" cy="3457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43600" cy="3457575"/>
                    </a:xfrm>
                    <a:prstGeom prst="rect">
                      <a:avLst/>
                    </a:prstGeom>
                  </pic:spPr>
                </pic:pic>
              </a:graphicData>
            </a:graphic>
          </wp:inline>
        </w:drawing>
      </w:r>
    </w:p>
    <w:p>
      <w:pPr>
        <w:spacing w:after="220"/>
        <w:jc w:val="center"/>
      </w:pPr>
      <w:r>
        <w:rPr>
          <w:rFonts w:ascii="Georgia" w:cs="Georgia" w:eastAsia="Georgia" w:hAnsi="Georgia"/>
          <w:i/>
          <w:iCs/>
          <w:color w:val="555555"/>
          <w:sz w:val="18"/>
          <w:szCs w:val="18"/>
        </w:rPr>
        <w:t xml:space="preserve">Figure 2. Each asset class on its own log-scale comparison, 2026 estimate vs. 2040 projection. AI &amp; Robotics IP and the Bio-Economy show the largest proportional growth — and carry the least historical precedent.</w:t>
      </w:r>
    </w:p>
    <w:p>
      <w:pPr>
        <w:spacing w:after="200" w:line="320"/>
      </w:pPr>
      <w:r>
        <w:rPr>
          <w:rFonts w:ascii="Arial" w:cs="Arial" w:eastAsia="Arial" w:hAnsi="Arial"/>
          <w:color w:val="1A1A1A"/>
          <w:sz w:val="22"/>
          <w:szCs w:val="22"/>
        </w:rPr>
        <w:t xml:space="preserve">One entry in this table deserves an explicit caveat: the Bio-Economy line assumes growth from ~$2T to ~$30T by 2040</w:t>
      </w:r>
      <w:r>
        <w:rPr>
          <w:rStyle w:val="FootnoteReference"/>
        </w:rPr>
        <w:footnoteReference w:id="16"/>
      </w:r>
      <w:r>
        <w:rPr>
          <w:rFonts w:ascii="Arial" w:cs="Arial" w:eastAsia="Arial" w:hAnsi="Arial"/>
          <w:color w:val="1A1A1A"/>
          <w:sz w:val="22"/>
          <w:szCs w:val="22"/>
        </w:rPr>
        <w:t xml:space="preserve"> — a sustained ~21% compound annual growth rate for fourteen consecutive years. That is within the range of prior platform-technology build-outs (mobile internet, cloud computing), but it is not a conservative assumption, and it requires the full $500 billion–$1 trillion in annual R&amp;D and scale-up capital identified in Section 2.2 to arrive on schedule. Where that capital is delayed, the Bio-Economy figure above should be treated as a 2045, not 2040, milestone.</w:t>
      </w:r>
    </w:p>
    <w:p>
      <w:pPr>
        <w:spacing w:after="80"/>
      </w:pPr>
      <w:r>
        <w:t xml:space="preserve"/>
      </w:r>
    </w:p>
    <w:p>
      <w:pPr>
        <w:pStyle w:val="Heading2"/>
        <w:spacing w:after="120" w:before="320"/>
      </w:pPr>
      <w:r>
        <w:rPr>
          <w:rFonts w:ascii="Arial" w:cs="Arial" w:eastAsia="Arial" w:hAnsi="Arial"/>
          <w:b/>
          <w:bCs/>
          <w:color w:val="0A2540"/>
          <w:sz w:val="26"/>
          <w:szCs w:val="26"/>
        </w:rPr>
        <w:t xml:space="preserve">4.2 Projected Global Liabilities</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778"/>
        <w:gridCol w:w="1310"/>
        <w:gridCol w:w="1310"/>
        <w:gridCol w:w="4961"/>
      </w:tblGrid>
      <w:tr>
        <w:trPr>
          <w:tblHeader/>
        </w:trPr>
        <w:tc>
          <w:tcPr>
            <w:tcW w:type="dxa" w:w="177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Debt Type</w:t>
            </w:r>
          </w:p>
        </w:tc>
        <w:tc>
          <w:tcPr>
            <w:tcW w:type="dxa" w:w="131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Estimate</w:t>
            </w:r>
          </w:p>
        </w:tc>
        <w:tc>
          <w:tcPr>
            <w:tcW w:type="dxa" w:w="131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2040 Projection</w:t>
            </w:r>
          </w:p>
        </w:tc>
        <w:tc>
          <w:tcPr>
            <w:tcW w:type="dxa" w:w="496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Rationale</w:t>
            </w:r>
          </w:p>
        </w:tc>
      </w:tr>
      <w:tr>
        <w:tc>
          <w:tcPr>
            <w:tcW w:type="dxa" w:w="177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Government Debt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~$106.7T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~$150T</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New borrowing for fusion, AI infrastructure, and UBI programmes.</w:t>
            </w:r>
          </w:p>
        </w:tc>
      </w:tr>
      <w:tr>
        <w:tc>
          <w:tcPr>
            <w:tcW w:type="dxa" w:w="177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Corporate Debt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~$100.6T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~$140T</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Re-financing of old-world debt; new issuance for AI and robotics capex.</w:t>
            </w:r>
          </w:p>
        </w:tc>
      </w:tr>
      <w:tr>
        <w:tc>
          <w:tcPr>
            <w:tcW w:type="dxa" w:w="177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Household Debt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~$69.4T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~$60T</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Reduced by “Blessings Equity” models and UBI; lower reliance on mortgages and consumer credit.</w:t>
            </w:r>
          </w:p>
        </w:tc>
      </w:tr>
      <w:tr>
        <w:tc>
          <w:tcPr>
            <w:tcW w:type="dxa" w:w="177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Financial Sector Debt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~$32.6T</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~$50T</w:t>
            </w:r>
          </w:p>
        </w:tc>
        <w:tc>
          <w:tcPr>
            <w:tcW w:type="dxa" w:w="496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Increased leverage for AI-trading and risk management systems.</w:t>
            </w:r>
          </w:p>
        </w:tc>
      </w:tr>
      <w:tr>
        <w:tc>
          <w:tcPr>
            <w:tcW w:type="dxa" w:w="177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Total Global Debt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~$348T</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~$400T</w:t>
            </w:r>
          </w:p>
        </w:tc>
        <w:tc>
          <w:tcPr>
            <w:tcW w:type="dxa" w:w="496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Debt-to-GDP ratio falls from 3.3x to ~0.6x as GDP grows faster than debt.</w:t>
            </w:r>
          </w:p>
        </w:tc>
      </w:tr>
    </w:tbl>
    <w:p>
      <w:pPr>
        <w:spacing w:after="240"/>
      </w:pPr>
      <w:r>
        <w:t xml:space="preserve"/>
      </w:r>
    </w:p>
    <w:tbl>
      <w:tblPr>
        <w:tblW w:type="dxa" w:w="9360"/>
        <w:tblBorders>
          <w:top w:val="single" w:color="D4D0C8" w:sz="4"/>
          <w:left w:val="single" w:color="0A2540" w:sz="24"/>
          <w:bottom w:val="single" w:color="D4D0C8" w:sz="4"/>
          <w:right w:val="single" w:color="D4D0C8" w:sz="4"/>
          <w:insideH w:val="single" w:color="auto" w:sz="4"/>
          <w:insideV w:val="single" w:color="auto" w:sz="4"/>
        </w:tblBorders>
      </w:tblPr>
      <w:tblGrid>
        <w:gridCol w:w="9360"/>
      </w:tblGrid>
      <w:tr>
        <w:tc>
          <w:tcPr>
            <w:tcW w:type="dxa" w:w="9360"/>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4.3 KEY INSIGHT</w:t>
            </w:r>
          </w:p>
          <w:p>
            <w:pPr>
              <w:spacing w:after="0" w:line="300"/>
            </w:pPr>
            <w:r>
              <w:rPr>
                <w:rFonts w:ascii="Arial" w:cs="Arial" w:eastAsia="Arial" w:hAnsi="Arial"/>
                <w:i/>
                <w:iCs/>
                <w:color w:val="1A1A1A"/>
                <w:sz w:val="22"/>
                <w:szCs w:val="22"/>
              </w:rPr>
              <w:t xml:space="preserve">The $1Q economy is not debt-free, but debt-sustainable. The ratio of debt to GDP improves dramatically as exponential growth outpaces borrowing. Debt becomes a manageable tool, not an existential risk.</w:t>
            </w:r>
          </w:p>
        </w:tc>
      </w:tr>
    </w:tbl>
    <w:p>
      <w:r>
        <w:br w:type="page"/>
      </w:r>
    </w:p>
    <w:p>
      <w:pPr>
        <w:pStyle w:val="Heading1"/>
        <w:spacing w:after="160" w:before="480"/>
      </w:pPr>
      <w:r>
        <w:rPr>
          <w:rFonts w:ascii="Arial" w:cs="Arial" w:eastAsia="Arial" w:hAnsi="Arial"/>
          <w:b/>
          <w:bCs/>
          <w:color w:val="0A2540"/>
          <w:sz w:val="36"/>
          <w:szCs w:val="36"/>
        </w:rPr>
        <w:t xml:space="preserve">5.0 · The Six Filters: What Stops Us?</w:t>
      </w:r>
    </w:p>
    <w:p>
      <w:pPr>
        <w:spacing w:after="200" w:line="320"/>
      </w:pPr>
      <w:r>
        <w:rPr>
          <w:rFonts w:ascii="Arial" w:cs="Arial" w:eastAsia="Arial" w:hAnsi="Arial"/>
          <w:color w:val="1A1A1A"/>
          <w:sz w:val="22"/>
          <w:szCs w:val="22"/>
        </w:rPr>
        <w:t xml:space="preserve">If fusion and robotics arrive on schedule, the filters that determine whether we reach $1Q or descend into chaos are entirely human-made. Five of the six are coordination and distribution problems; the sixth — added in this version — is a limits problem, and it is treated separately for that reason (Section 5.6).</w:t>
      </w:r>
    </w:p>
    <w:p>
      <w:pPr>
        <w:spacing w:after="160"/>
      </w:pPr>
      <w:r>
        <w:t xml:space="preserve"/>
      </w:r>
    </w:p>
    <w:p>
      <w:pPr>
        <w:pStyle w:val="Heading2"/>
        <w:spacing w:after="120" w:before="320"/>
      </w:pPr>
      <w:r>
        <w:rPr>
          <w:rFonts w:ascii="Arial" w:cs="Arial" w:eastAsia="Arial" w:hAnsi="Arial"/>
          <w:b/>
          <w:bCs/>
          <w:color w:val="0A2540"/>
          <w:sz w:val="26"/>
          <w:szCs w:val="26"/>
        </w:rPr>
        <w:t xml:space="preserve">5.1 Filter 1: The Distribution Crisis</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The pie does not need to be divided more fairly. It needs to be ten times larger.</w:t>
            </w:r>
          </w:p>
        </w:tc>
      </w:tr>
    </w:tbl>
    <w:p>
      <w:pPr>
        <w:spacing w:after="200" w:line="320"/>
      </w:pPr>
      <w:r>
        <w:rPr>
          <w:rFonts w:ascii="Arial" w:cs="Arial" w:eastAsia="Arial" w:hAnsi="Arial"/>
          <w:b/>
          <w:bCs/>
          <w:color w:val="1A1A1A"/>
          <w:sz w:val="22"/>
          <w:szCs w:val="22"/>
        </w:rPr>
        <w:t xml:space="preserve">The Risk</w:t>
      </w:r>
    </w:p>
    <w:p>
      <w:pPr>
        <w:spacing w:after="200" w:line="320"/>
      </w:pPr>
      <w:r>
        <w:rPr>
          <w:rFonts w:ascii="Arial" w:cs="Arial" w:eastAsia="Arial" w:hAnsi="Arial"/>
          <w:color w:val="1A1A1A"/>
          <w:sz w:val="22"/>
          <w:szCs w:val="22"/>
        </w:rPr>
        <w:t xml:space="preserve">A larger pie that is worse distributed creates super-charged inequality. If 1% captures 90% of the gains from AI and fusion, the social contract fractures. The $124T intergenerational wealth transfer</w:t>
      </w:r>
      <w:r>
        <w:rPr>
          <w:rStyle w:val="FootnoteReference"/>
        </w:rPr>
        <w:footnoteReference w:id="19"/>
      </w:r>
      <w:r>
        <w:rPr>
          <w:rFonts w:ascii="Arial" w:cs="Arial" w:eastAsia="Arial" w:hAnsi="Arial"/>
          <w:color w:val="1A1A1A"/>
          <w:sz w:val="22"/>
          <w:szCs w:val="22"/>
        </w:rPr>
        <w:t xml:space="preserve"> and the $846T shadow economy</w:t>
      </w:r>
      <w:r>
        <w:rPr>
          <w:rStyle w:val="FootnoteReference"/>
        </w:rPr>
        <w:footnoteReference w:id="20"/>
      </w:r>
      <w:r>
        <w:rPr>
          <w:rFonts w:ascii="Arial" w:cs="Arial" w:eastAsia="Arial" w:hAnsi="Arial"/>
          <w:color w:val="1A1A1A"/>
          <w:sz w:val="22"/>
          <w:szCs w:val="22"/>
        </w:rPr>
        <w:t xml:space="preserve"> will be weaponised.</w:t>
      </w:r>
    </w:p>
    <w:p>
      <w:pPr>
        <w:spacing w:after="200" w:line="320"/>
      </w:pPr>
      <w:r>
        <w:rPr>
          <w:rFonts w:ascii="Arial" w:cs="Arial" w:eastAsia="Arial" w:hAnsi="Arial"/>
          <w:b/>
          <w:bCs/>
          <w:color w:val="1A1A1A"/>
          <w:sz w:val="22"/>
          <w:szCs w:val="22"/>
        </w:rPr>
        <w:t xml:space="preserve">The Empirical Precedent</w:t>
      </w:r>
    </w:p>
    <w:p>
      <w:pPr>
        <w:spacing w:after="200" w:line="320"/>
      </w:pPr>
      <w:r>
        <w:rPr>
          <w:rFonts w:ascii="Arial" w:cs="Arial" w:eastAsia="Arial" w:hAnsi="Arial"/>
          <w:color w:val="1A1A1A"/>
          <w:sz w:val="22"/>
          <w:szCs w:val="22"/>
        </w:rPr>
        <w:t xml:space="preserve">This risk is not hypothetical — it is how most prior technology and resource windfalls have actually been distributed.</w:t>
      </w:r>
      <w:r>
        <w:rPr>
          <w:rStyle w:val="FootnoteReference"/>
        </w:rPr>
        <w:footnoteReference w:id="21"/>
      </w:r>
      <w:r>
        <w:rPr>
          <w:rFonts w:ascii="Arial" w:cs="Arial" w:eastAsia="Arial" w:hAnsi="Arial"/>
          <w:color w:val="1A1A1A"/>
          <w:sz w:val="22"/>
          <w:szCs w:val="22"/>
        </w:rPr>
        <w:t xml:space="preserve"> Mobile telephony's consumer surplus was captured disproportionately by handset makers and carriers relative to end users in most markets; Gulf-state oil rents were concentrated in sovereign and royal balance sheets with uneven citizen-level distribution; Norway's Government Pension Fund Global is the standing counterexample — the same resource (oil), a materially different distribution outcome, achieved through an explicit sovereign-wealth-fund structure decided upfront rather than retrofitted after the fact. The Global Resource Trust below is modelled deliberately on the Norway case, not the more common outcome, and that choice is the paper's single biggest bet on Filter 1.</w:t>
      </w:r>
    </w:p>
    <w:p>
      <w:pPr>
        <w:spacing w:after="200" w:line="320"/>
      </w:pPr>
      <w:r>
        <w:rPr>
          <w:rFonts w:ascii="Arial" w:cs="Arial" w:eastAsia="Arial" w:hAnsi="Arial"/>
          <w:b/>
          <w:bCs/>
          <w:color w:val="1A1A1A"/>
          <w:sz w:val="22"/>
          <w:szCs w:val="22"/>
        </w:rPr>
        <w:t xml:space="preserve">The Theseus Solution: “Blessings Equity”</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Global Resource Trust: Capitalised by 1% of all fusion, asteroid, and seabed revenues, paying a quarterly universal basic dividend to every person on Earth.</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Universal Basic Income: Funded by dividends from AI and fusion revenues.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Sovereign Wealth Fund for Every Citizen: Capitalised by resource rents (seabed, space).</w:t>
      </w:r>
    </w:p>
    <w:p>
      <w:pPr>
        <w:spacing w:after="200" w:line="320"/>
      </w:pPr>
      <w:r>
        <w:rPr>
          <w:rFonts w:ascii="Arial" w:cs="Arial" w:eastAsia="Arial" w:hAnsi="Arial"/>
          <w:color w:val="1A1A1A"/>
          <w:sz w:val="22"/>
          <w:szCs w:val="22"/>
        </w:rPr>
        <w:t xml:space="preserve">Funding, governance, legal authority, dispute resolution, and incentive design for the Global Resource Trust and Blessings Equity are set out in full in Appendix D.1 and D.2.</w:t>
      </w:r>
    </w:p>
    <w:p>
      <w:pPr>
        <w:spacing w:after="160"/>
      </w:pPr>
      <w:r>
        <w:t xml:space="preserve"/>
      </w:r>
    </w:p>
    <w:tbl>
      <w:tblPr>
        <w:tblW w:type="dxa" w:w="9360"/>
        <w:tblBorders>
          <w:top w:val="single" w:color="D4D0C8" w:sz="4"/>
          <w:left w:val="single" w:color="B8860B" w:sz="24"/>
          <w:bottom w:val="single" w:color="D4D0C8" w:sz="4"/>
          <w:right w:val="single" w:color="D4D0C8" w:sz="4"/>
          <w:insideH w:val="single" w:color="auto" w:sz="4"/>
          <w:insideV w:val="single" w:color="auto" w:sz="4"/>
        </w:tblBorders>
      </w:tblPr>
      <w:tblGrid>
        <w:gridCol w:w="9360"/>
      </w:tblGrid>
      <w:tr>
        <w:tc>
          <w:tcPr>
            <w:tcW w:type="dxa" w:w="9360"/>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DISTRIBUTION MECHANICS: WHAT BLESSINGS EQUITY ACTUALLY PAYS</w:t>
            </w:r>
          </w:p>
          <w:p>
            <w:pPr>
              <w:spacing w:after="0" w:line="300"/>
            </w:pPr>
            <w:r>
              <w:rPr>
                <w:rFonts w:ascii="Arial" w:cs="Arial" w:eastAsia="Arial" w:hAnsi="Arial"/>
                <w:i/>
                <w:iCs/>
                <w:color w:val="1A1A1A"/>
                <w:sz w:val="22"/>
                <w:szCs w:val="22"/>
              </w:rPr>
              <w:t xml:space="preserve">Global population is projected at roughly 9.0–9.7 billion by 2045. If the Trust reaches a steady-state annual disbursement equal to 0.5–1% of 2045 global GDP (the 15% base case in Section 2.4 implies ~$1.4Q), the resulting dividend pool is roughly $7–14 trillion annually — approximately $700–$1,500 per person per year at full global rollout. That is modest relative to per-capita GDP in high-income economies and potentially transformative in low-income ones. On the moral-hazard question reviewers have raised: the Alaska Permanent Fund, the closest live precedent for a universal resource dividend, has not shown a measurable reduction in labour-force participation among recipients across four decades of operation — the empirical base for the “universal dividends kill the incentive to work” objection is thinner than the objection's popularity suggests, though a $700–$1,500 global dividend and Alaska's larger per-capita oil dividend are not identical in scale.</w:t>
            </w:r>
          </w:p>
        </w:tc>
      </w:tr>
    </w:tbl>
    <w:p>
      <w:pPr>
        <w:spacing w:after="160"/>
      </w:pPr>
      <w:r>
        <w:t xml:space="preserve"/>
      </w:r>
    </w:p>
    <w:p>
      <w:pPr>
        <w:spacing w:after="200" w:line="320"/>
      </w:pPr>
      <w:r>
        <w:rPr>
          <w:rFonts w:ascii="Arial" w:cs="Arial" w:eastAsia="Arial" w:hAnsi="Arial"/>
          <w:b/>
          <w:bCs/>
          <w:color w:val="1A1A1A"/>
          <w:sz w:val="22"/>
          <w:szCs w:val="22"/>
        </w:rPr>
        <w:t xml:space="preserve">The Political Economy of Adoption</w:t>
      </w:r>
    </w:p>
    <w:p>
      <w:pPr>
        <w:spacing w:after="200" w:line="320"/>
      </w:pPr>
      <w:r>
        <w:rPr>
          <w:rFonts w:ascii="Arial" w:cs="Arial" w:eastAsia="Arial" w:hAnsi="Arial"/>
          <w:color w:val="1A1A1A"/>
          <w:sz w:val="22"/>
          <w:szCs w:val="22"/>
        </w:rPr>
        <w:t xml:space="preserve">The mechanics above assume the Trust gets built. Whether it does is a political economy question this paper should not paper over: the jurisdictions asked to fund it — the largest fusion, seabed, and asteroid extractors — bear a concentrated domestic cost (foregone revenue) for a diffuse global benefit, the same collective-action structure that has slowed global carbon pricing for two decades. The jurisdictions most likely to champion it are resource-importing, population-heavy nations that receive dividend income without bearing extraction costs — a coalition split with an uncomfortable resemblance to the North–South divide in climate finance negotiations. Appendix D.1's design answers this partially: tying Trust governance seats to compliant payment gives extractors a self-interested reason to participate rather than relying on goodwill. But the honest reading is that Blessings Equity is more likely to arrive piecemeal — adopted early by jurisdictions already diversifying away from resource dependence (Norway's model, the Gulf states' Vision 2030-style programmes, Appendix C) — than as a single global agreement. That is not a reason to abandon the proposal; it is a reason to expect its real-world path to look like the Fragmented Transition scenario (Section 7.1) even in the best case.</w:t>
      </w:r>
    </w:p>
    <w:p>
      <w:pPr>
        <w:pStyle w:val="Heading2"/>
        <w:spacing w:after="120" w:before="320"/>
      </w:pPr>
      <w:r>
        <w:rPr>
          <w:rFonts w:ascii="Arial" w:cs="Arial" w:eastAsia="Arial" w:hAnsi="Arial"/>
          <w:b/>
          <w:bCs/>
          <w:color w:val="0A2540"/>
          <w:sz w:val="26"/>
          <w:szCs w:val="26"/>
        </w:rPr>
        <w:t xml:space="preserve">5.2 Filter 2: The Governance Trap</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The assumption of ever-deepening globalisation has been decisively broken.</w:t>
            </w:r>
          </w:p>
        </w:tc>
      </w:tr>
    </w:tbl>
    <w:p>
      <w:pPr>
        <w:spacing w:after="200" w:line="320"/>
      </w:pPr>
      <w:r>
        <w:rPr>
          <w:rFonts w:ascii="Arial" w:cs="Arial" w:eastAsia="Arial" w:hAnsi="Arial"/>
          <w:b/>
          <w:bCs/>
          <w:color w:val="1A1A1A"/>
          <w:sz w:val="22"/>
          <w:szCs w:val="22"/>
        </w:rPr>
        <w:t xml:space="preserve">The Risk</w:t>
      </w:r>
    </w:p>
    <w:p>
      <w:pPr>
        <w:spacing w:after="200" w:line="320"/>
      </w:pPr>
      <w:r>
        <w:rPr>
          <w:rFonts w:ascii="Arial" w:cs="Arial" w:eastAsia="Arial" w:hAnsi="Arial"/>
          <w:color w:val="1A1A1A"/>
          <w:sz w:val="22"/>
          <w:szCs w:val="22"/>
        </w:rPr>
        <w:t xml:space="preserve">Our institutions are built for a slow, linear world. They cannot handle the speed of AI-driven markets or the scale of fusion deployment.</w:t>
      </w:r>
    </w:p>
    <w:p>
      <w:pPr>
        <w:spacing w:after="200" w:line="320"/>
      </w:pPr>
      <w:r>
        <w:rPr>
          <w:rFonts w:ascii="Arial" w:cs="Arial" w:eastAsia="Arial" w:hAnsi="Arial"/>
          <w:b/>
          <w:bCs/>
          <w:color w:val="1A1A1A"/>
          <w:sz w:val="22"/>
          <w:szCs w:val="22"/>
        </w:rPr>
        <w:t xml:space="preserve">The Theseus Solution: “Nested, AI-Augmented Governance”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Local: Robot regulation, drone corridors, AI ethics boards.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National: Reformed central banks with AI advisory councils.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Regional: New trade blocs (Indo-Pacific, African Continental Free Trade Area).</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Planetary: Asteroid resource treaties, seabed mining authority, fusion non-proliferation frameworks.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Temporal: AI-augmented decision cycles that process data in real time.</w:t>
      </w:r>
    </w:p>
    <w:p>
      <w:pPr>
        <w:spacing w:after="200" w:line="320"/>
      </w:pPr>
      <w:r>
        <w:rPr>
          <w:rFonts w:ascii="Arial" w:cs="Arial" w:eastAsia="Arial" w:hAnsi="Arial"/>
          <w:color w:val="1A1A1A"/>
          <w:sz w:val="22"/>
          <w:szCs w:val="22"/>
        </w:rPr>
        <w:t xml:space="preserve">Funding, governance, legal authority, dispute resolution, and incentive design for the Planetary Resource Authority and AI-Augmented Governance are set out in full in Appendix D.3 and D.4.</w:t>
      </w:r>
    </w:p>
    <w:p>
      <w:pPr>
        <w:spacing w:after="200" w:line="320"/>
      </w:pPr>
      <w:r>
        <w:rPr>
          <w:rFonts w:ascii="Arial" w:cs="Arial" w:eastAsia="Arial" w:hAnsi="Arial"/>
          <w:b/>
          <w:bCs/>
          <w:color w:val="1A1A1A"/>
          <w:sz w:val="22"/>
          <w:szCs w:val="22"/>
        </w:rPr>
        <w:t xml:space="preserve">Governance Realism</w:t>
      </w:r>
    </w:p>
    <w:p>
      <w:pPr>
        <w:spacing w:after="200" w:line="320"/>
      </w:pPr>
      <w:r>
        <w:rPr>
          <w:rFonts w:ascii="Arial" w:cs="Arial" w:eastAsia="Arial" w:hAnsi="Arial"/>
          <w:color w:val="1A1A1A"/>
          <w:sz w:val="22"/>
          <w:szCs w:val="22"/>
        </w:rPr>
        <w:t xml:space="preserve">Global coordination is unlikely. The most plausible path is regional blocs (US–China–India–EU) competing and cooperating. AI governance will be fragmented, with each bloc developing its own standards. The Planetary Resource Authority is a long-term aspiration, not a near-term deliverable.</w:t>
      </w:r>
    </w:p>
    <w:p>
      <w:pPr>
        <w:spacing w:after="200" w:line="320"/>
      </w:pPr>
      <w:r>
        <w:rPr>
          <w:rFonts w:ascii="Arial" w:cs="Arial" w:eastAsia="Arial" w:hAnsi="Arial"/>
          <w:color w:val="1A1A1A"/>
          <w:sz w:val="22"/>
          <w:szCs w:val="22"/>
        </w:rPr>
        <w:t xml:space="preserve">Three concrete fragmentation risks follow directly from this, and the Theseus Trajectory does not resolve them — it only names them:</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Incompatible AI standards: if the US and China converge on different model-safety, data-provenance, and liability regimes, multinational deployers face a compliance choice that itself hardens the bloc split — a company builds to one standard or maintains two parallel stacks, and either choice deepens fragmentation rather than resolving it.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Divergent fusion and energy regulation: if the EU regulates fusion under a precautionary, heavily licensed regime while ASEAN or the Gulf states adopt a faster, permissive one, capital and talent migrate to the permissive jurisdictions first — replicating the regulatory-arbitrage pattern already seen in early CBDC and digital-asset policy.</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 race to the bottom on AI safety: absent binding cross-bloc agreement, the commercially rational move for any single jurisdiction is to under-regulate relative to its rivals in order to attract AI investment. The Theseus Solution below (nested governance) mitigates this only where blocs have a shared incentive to cooperate — for existential-tail risks (Section 6.0) that incentive exists; for competitive advantage in Narrow AI, it largely does not.</w:t>
      </w:r>
    </w:p>
    <w:p>
      <w:pPr>
        <w:spacing w:after="160"/>
      </w:pPr>
      <w:r>
        <w:t xml:space="preserve"/>
      </w:r>
    </w:p>
    <w:p>
      <w:pPr>
        <w:pStyle w:val="Heading2"/>
        <w:spacing w:after="120" w:before="320"/>
      </w:pPr>
      <w:r>
        <w:rPr>
          <w:rFonts w:ascii="Arial" w:cs="Arial" w:eastAsia="Arial" w:hAnsi="Arial"/>
          <w:b/>
          <w:bCs/>
          <w:color w:val="0A2540"/>
          <w:sz w:val="26"/>
          <w:szCs w:val="26"/>
        </w:rPr>
        <w:t xml:space="preserve">5.3 Filter 3: The Great Repricing</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The global energy market is $6 trillion annually. Most of it is likely to migrate toward clean energy.</w:t>
            </w:r>
          </w:p>
        </w:tc>
      </w:tr>
    </w:tbl>
    <w:p>
      <w:pPr>
        <w:spacing w:after="200" w:line="320"/>
      </w:pPr>
      <w:r>
        <w:rPr>
          <w:rFonts w:ascii="Arial" w:cs="Arial" w:eastAsia="Arial" w:hAnsi="Arial"/>
          <w:b/>
          <w:bCs/>
          <w:color w:val="1A1A1A"/>
          <w:sz w:val="22"/>
          <w:szCs w:val="22"/>
        </w:rPr>
        <w:t xml:space="preserve">The Risk</w:t>
      </w:r>
    </w:p>
    <w:p>
      <w:pPr>
        <w:spacing w:after="200" w:line="320"/>
      </w:pPr>
      <w:r>
        <w:rPr>
          <w:rFonts w:ascii="Arial" w:cs="Arial" w:eastAsia="Arial" w:hAnsi="Arial"/>
          <w:color w:val="1A1A1A"/>
          <w:sz w:val="22"/>
          <w:szCs w:val="22"/>
        </w:rPr>
        <w:t xml:space="preserve">If fusion makes energy virtually free, the entire valuation basis of the global economy shifts. Real estate, fossil fuel reserves, and carbon-heavy industries become stranded assets. The $600T in global wealth is suddenly priced against a new reality. This entire filter is conditional on fusion timing (Section 2.1): if commercialisation slips by the 5–10 years Section 10.0 treats as plausible, the Great Repricing does not fail to happen — it happens later and more gradually, a materially different and more manageable risk profile than the one modelled here.</w:t>
      </w:r>
    </w:p>
    <w:p>
      <w:pPr>
        <w:spacing w:after="200" w:line="320"/>
      </w:pPr>
      <w:r>
        <w:rPr>
          <w:rFonts w:ascii="Arial" w:cs="Arial" w:eastAsia="Arial" w:hAnsi="Arial"/>
          <w:b/>
          <w:bCs/>
          <w:color w:val="1A1A1A"/>
          <w:sz w:val="22"/>
          <w:szCs w:val="22"/>
        </w:rPr>
        <w:t xml:space="preserve">The Theseus Solution: “Active Transition Management”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Central Bank Digital Currencies (CBDCs): Programmable money that can smooth the repricing.</w:t>
      </w:r>
      <w:r>
        <w:rPr>
          <w:rStyle w:val="FootnoteReference"/>
        </w:rPr>
        <w:footnoteReference w:id="22"/>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New Inflation Metrics: Measures that account for energy abundance, not scarcity.</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Managed Write-Downs: Orderly restructuring of fossil assets, not chaotic collapse.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Fusion Bonds: New instruments that securitise future energy abundance.</w:t>
      </w:r>
    </w:p>
    <w:p>
      <w:r>
        <w:br w:type="page"/>
      </w:r>
    </w:p>
    <w:p>
      <w:pPr>
        <w:pStyle w:val="Heading2"/>
        <w:spacing w:after="120" w:before="320"/>
      </w:pPr>
      <w:r>
        <w:rPr>
          <w:rFonts w:ascii="Arial" w:cs="Arial" w:eastAsia="Arial" w:hAnsi="Arial"/>
          <w:b/>
          <w:bCs/>
          <w:color w:val="0A2540"/>
          <w:sz w:val="26"/>
          <w:szCs w:val="26"/>
        </w:rPr>
        <w:t xml:space="preserve">5.4 Filter 4: The Cognitive Bottleneck</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AI is now letting us read nature's molecular code.</w:t>
            </w:r>
          </w:p>
        </w:tc>
      </w:tr>
    </w:tbl>
    <w:p>
      <w:pPr>
        <w:spacing w:after="200" w:line="320"/>
      </w:pPr>
      <w:r>
        <w:rPr>
          <w:rFonts w:ascii="Arial" w:cs="Arial" w:eastAsia="Arial" w:hAnsi="Arial"/>
          <w:b/>
          <w:bCs/>
          <w:color w:val="1A1A1A"/>
          <w:sz w:val="22"/>
          <w:szCs w:val="22"/>
        </w:rPr>
        <w:t xml:space="preserve">The Risk</w:t>
      </w:r>
    </w:p>
    <w:p>
      <w:pPr>
        <w:spacing w:after="200" w:line="320"/>
      </w:pPr>
      <w:r>
        <w:rPr>
          <w:rFonts w:ascii="Arial" w:cs="Arial" w:eastAsia="Arial" w:hAnsi="Arial"/>
          <w:color w:val="1A1A1A"/>
          <w:sz w:val="22"/>
          <w:szCs w:val="22"/>
        </w:rPr>
        <w:t xml:space="preserve">Human cognition, attention, and decision-making cannot keep pace with AI-generated complexity. The “Data Famine” is already here — we generate more data than we can process.</w:t>
      </w:r>
    </w:p>
    <w:p>
      <w:pPr>
        <w:spacing w:after="200" w:line="320"/>
      </w:pPr>
      <w:r>
        <w:rPr>
          <w:rFonts w:ascii="Arial" w:cs="Arial" w:eastAsia="Arial" w:hAnsi="Arial"/>
          <w:b/>
          <w:bCs/>
          <w:color w:val="1A1A1A"/>
          <w:sz w:val="22"/>
          <w:szCs w:val="22"/>
        </w:rPr>
        <w:t xml:space="preserve">The Theseus Solution: “Human Augmentation &amp; New Education”</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Cognitive Augmentation: AI assistants, neuro-interfaces, and decision-support systems.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Biological Augmentation: Longevity, healthspan, and cognitive enhancement.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School Without Walls: A global, AI-powered education system that trains humanity to think in systems, not silos.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Silence Economy: Deliberate disconnection to preserve human judgment.</w:t>
      </w:r>
    </w:p>
    <w:p>
      <w:pPr>
        <w:spacing w:after="200" w:line="320"/>
      </w:pPr>
      <w:r>
        <w:rPr>
          <w:rFonts w:ascii="Arial" w:cs="Arial" w:eastAsia="Arial" w:hAnsi="Arial"/>
          <w:color w:val="1A1A1A"/>
          <w:sz w:val="22"/>
          <w:szCs w:val="22"/>
        </w:rPr>
        <w:t xml:space="preserve">The School Without Walls is the least specified mechanism in this paper as written, and reviewers have rightly asked who builds and funds it. The proposed answer: a Global Education Trust, capitalised by a 0.1% levy on AI infrastructure and model-licensing revenue — the same revenue base the Global Resource Trust (Section 5.1) draws on for fusion and resource rents. At the AI infrastructure investment levels in Section 2.2 ($1–2 trillion over the decade), a 0.1% levy yields roughly $1–2 billion annually at first, scaling with the sector; this funds curriculum and open-access AI tutoring infrastructure, not physical schools, which remain a national responsibility. Governance follows the same nested model as Filter 2: local curriculum, national accreditation, planetary open-access standards.</w:t>
      </w:r>
    </w:p>
    <w:p>
      <w:pPr>
        <w:spacing w:after="160"/>
      </w:pPr>
      <w:r>
        <w:t xml:space="preserve"/>
      </w:r>
    </w:p>
    <w:p>
      <w:pPr>
        <w:pStyle w:val="Heading2"/>
        <w:spacing w:after="120" w:before="320"/>
      </w:pPr>
      <w:r>
        <w:rPr>
          <w:rFonts w:ascii="Arial" w:cs="Arial" w:eastAsia="Arial" w:hAnsi="Arial"/>
          <w:b/>
          <w:bCs/>
          <w:color w:val="0A2540"/>
          <w:sz w:val="26"/>
          <w:szCs w:val="26"/>
        </w:rPr>
        <w:t xml:space="preserve">5.5 Filter 5: The Human Factor</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People will fight over the transition.</w:t>
            </w:r>
          </w:p>
        </w:tc>
      </w:tr>
    </w:tbl>
    <w:p>
      <w:pPr>
        <w:spacing w:after="200" w:line="320"/>
      </w:pPr>
      <w:r>
        <w:rPr>
          <w:rFonts w:ascii="Arial" w:cs="Arial" w:eastAsia="Arial" w:hAnsi="Arial"/>
          <w:b/>
          <w:bCs/>
          <w:color w:val="1A1A1A"/>
          <w:sz w:val="22"/>
          <w:szCs w:val="22"/>
        </w:rPr>
        <w:t xml:space="preserve">The Risk</w:t>
      </w:r>
    </w:p>
    <w:p>
      <w:pPr>
        <w:spacing w:after="200" w:line="320"/>
      </w:pPr>
      <w:r>
        <w:rPr>
          <w:rFonts w:ascii="Arial" w:cs="Arial" w:eastAsia="Arial" w:hAnsi="Arial"/>
          <w:color w:val="1A1A1A"/>
          <w:sz w:val="22"/>
          <w:szCs w:val="22"/>
        </w:rPr>
        <w:t xml:space="preserve">The greatest risk is simpler than any technical failure. Incumbents will resist. Populists will exploit fear. Wars over resources are more likely than treaties. Fear of change is rational and powerful.</w:t>
      </w:r>
    </w:p>
    <w:p>
      <w:pPr>
        <w:spacing w:after="200" w:line="320"/>
      </w:pPr>
      <w:r>
        <w:rPr>
          <w:rFonts w:ascii="Arial" w:cs="Arial" w:eastAsia="Arial" w:hAnsi="Arial"/>
          <w:b/>
          <w:bCs/>
          <w:color w:val="1A1A1A"/>
          <w:sz w:val="22"/>
          <w:szCs w:val="22"/>
        </w:rPr>
        <w:t xml:space="preserve">The Solution</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Narratives: The $1Q story must be told and retold — inspiring, inclusive, and credible.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Inclusion: People must feel they have a stake in the new economy.</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Patience: Change takes time. The transition is generational.</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Compensation: Losers must be supported. No one should be left behind.</w:t>
      </w:r>
    </w:p>
    <w:p>
      <w:pPr>
        <w:spacing w:after="160"/>
      </w:pPr>
      <w:r>
        <w:t xml:space="preserve"/>
      </w:r>
    </w:p>
    <w:p>
      <w:pPr>
        <w:pStyle w:val="Heading2"/>
        <w:spacing w:after="120" w:before="320"/>
      </w:pPr>
      <w:r>
        <w:rPr>
          <w:rFonts w:ascii="Arial" w:cs="Arial" w:eastAsia="Arial" w:hAnsi="Arial"/>
          <w:b/>
          <w:bCs/>
          <w:color w:val="0A2540"/>
          <w:sz w:val="26"/>
          <w:szCs w:val="26"/>
        </w:rPr>
        <w:t xml:space="preserve">5.6 Filter 6: The Ethical and Environmental Trade-Offs</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Every plank we replace has a cost. The Theseus Trajectory does not get to skip that arithmetic.</w:t>
            </w:r>
          </w:p>
        </w:tc>
      </w:tr>
    </w:tbl>
    <w:p>
      <w:pPr>
        <w:spacing w:after="200" w:line="320"/>
      </w:pPr>
      <w:r>
        <w:rPr>
          <w:rFonts w:ascii="Arial" w:cs="Arial" w:eastAsia="Arial" w:hAnsi="Arial"/>
          <w:b/>
          <w:bCs/>
          <w:color w:val="1A1A1A"/>
          <w:sz w:val="22"/>
          <w:szCs w:val="22"/>
        </w:rPr>
        <w:t xml:space="preserve">The Risk</w:t>
      </w:r>
    </w:p>
    <w:p>
      <w:pPr>
        <w:spacing w:after="200" w:line="320"/>
      </w:pPr>
      <w:r>
        <w:rPr>
          <w:rFonts w:ascii="Arial" w:cs="Arial" w:eastAsia="Arial" w:hAnsi="Arial"/>
          <w:color w:val="1A1A1A"/>
          <w:sz w:val="22"/>
          <w:szCs w:val="22"/>
        </w:rPr>
        <w:t xml:space="preserve">This filter is not an afterthought bolted onto the first five; it is a direct consequence of Filters 1–3. The extraction that funds Blessings Equity (Section 5.1), the fusion and grid buildout in the Great Repricing (Section 5.3), and the AI infrastructure behind the Cognitive Bottleneck solutions (Section 5.4) are the same physical activities that carry the costs described here — this filter names the bill for the other five, rather than introducing a separate concern.</w:t>
      </w:r>
    </w:p>
    <w:p>
      <w:pPr>
        <w:spacing w:after="200" w:line="320"/>
      </w:pPr>
      <w:r>
        <w:rPr>
          <w:rFonts w:ascii="Arial" w:cs="Arial" w:eastAsia="Arial" w:hAnsi="Arial"/>
          <w:color w:val="1A1A1A"/>
          <w:sz w:val="22"/>
          <w:szCs w:val="22"/>
        </w:rPr>
        <w:t xml:space="preserve">AI infrastructure at the scale described in Section 2.2 consumes water and electricity at a pace that competes with human need in water-stressed regions. Deep-sea and asteroid resource extraction (Section 4.1) operate in legal and ecological grey zones — seabed mining in particular risks irreversible damage to poorly understood ecosystems before the science of that damage is settled. Biotechnology and human augmentation (Filter 4's Cognitive Bottleneck solutions) raise consent, access, and equity questions that a purely economic framework does not answer: who is augmented first, and does refusing augmentation become a competitive disadvantage.</w:t>
      </w:r>
    </w:p>
    <w:p>
      <w:pPr>
        <w:spacing w:after="200" w:line="320"/>
      </w:pPr>
      <w:r>
        <w:rPr>
          <w:rFonts w:ascii="Arial" w:cs="Arial" w:eastAsia="Arial" w:hAnsi="Arial"/>
          <w:b/>
          <w:bCs/>
          <w:color w:val="1A1A1A"/>
          <w:sz w:val="22"/>
          <w:szCs w:val="22"/>
        </w:rPr>
        <w:t xml:space="preserve">The Theseus Position</w:t>
      </w:r>
    </w:p>
    <w:p>
      <w:pPr>
        <w:spacing w:after="200" w:line="320"/>
      </w:pPr>
      <w:r>
        <w:rPr>
          <w:rFonts w:ascii="Arial" w:cs="Arial" w:eastAsia="Arial" w:hAnsi="Arial"/>
          <w:color w:val="1A1A1A"/>
          <w:sz w:val="22"/>
          <w:szCs w:val="22"/>
        </w:rPr>
        <w:t xml:space="preserve">This paper does not resolve these trade-offs, and any document that claimed to would be overselling itself. What it commits to instead is a precautionary sequencing principle already implied by the Risk Register (Section 6.0): resource extraction and biotechnology deployment should be paced to the availability of independent environmental and ethical review, not to the availability of capital. Where the two are in tension — and at the investment pace described in Section 2.2, they frequently will be — review paces the deployment, not the reverse. This is a real cost to the 17% growth case in Section 2.4, and it is one of the more plausible reasons the base case, not the optimistic case, is the more realistic planning assumption.</w:t>
      </w:r>
    </w:p>
    <w:p>
      <w:pPr>
        <w:spacing w:after="160"/>
      </w:pPr>
      <w:r>
        <w:t xml:space="preserve"/>
      </w:r>
    </w:p>
    <w:p>
      <w:r>
        <w:br w:type="page"/>
      </w:r>
    </w:p>
    <w:p>
      <w:pPr>
        <w:pStyle w:val="Heading2"/>
        <w:spacing w:after="120" w:before="320"/>
      </w:pPr>
      <w:r>
        <w:rPr>
          <w:rFonts w:ascii="Arial" w:cs="Arial" w:eastAsia="Arial" w:hAnsi="Arial"/>
          <w:b/>
          <w:bCs/>
          <w:color w:val="0A2540"/>
          <w:sz w:val="26"/>
          <w:szCs w:val="26"/>
        </w:rPr>
        <w:t xml:space="preserve">5.7 Quantifying the Filters: How Much Does Failure Cost?</w:t>
      </w:r>
    </w:p>
    <w:p>
      <w:pPr>
        <w:spacing w:after="200" w:line="320"/>
      </w:pPr>
      <w:r>
        <w:rPr>
          <w:rFonts w:ascii="Arial" w:cs="Arial" w:eastAsia="Arial" w:hAnsi="Arial"/>
          <w:color w:val="1A1A1A"/>
          <w:sz w:val="22"/>
          <w:szCs w:val="22"/>
        </w:rPr>
        <w:t xml:space="preserve">Sections 5.1–5.6 name six filters qualitatively. This section makes the same point in the same units as the growth model (Section 2.3), so a reader can see exactly how filter failure and growth-rate failure are the same phenomenon described two ways.</w:t>
      </w:r>
      <w:r>
        <w:rPr>
          <w:rStyle w:val="FootnoteReference"/>
        </w:rPr>
        <w:footnoteReference w:id="23"/>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872"/>
        <w:gridCol w:w="1685"/>
        <w:gridCol w:w="1685"/>
        <w:gridCol w:w="4118"/>
      </w:tblGrid>
      <w:tr>
        <w:trPr>
          <w:tblHeader/>
        </w:trPr>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Filter</w:t>
            </w:r>
          </w:p>
        </w:tc>
        <w:tc>
          <w:tcPr>
            <w:tcW w:type="dxa" w:w="168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Well-Managed Drag</w:t>
            </w:r>
          </w:p>
        </w:tc>
        <w:tc>
          <w:tcPr>
            <w:tcW w:type="dxa" w:w="168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Poorly-Managed Drag</w:t>
            </w:r>
          </w:p>
        </w:tc>
        <w:tc>
          <w:tcPr>
            <w:tcW w:type="dxa" w:w="411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Mechanism</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 Distribution</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−0.5 to −1 pp</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 to −4 pp</w:t>
            </w:r>
          </w:p>
        </w:tc>
        <w:tc>
          <w:tcPr>
            <w:tcW w:type="dxa" w:w="411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Civil unrest, demand destruction, capital flight if Blessings Equity is delayed or diluted (Section 5.1).</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 Governance</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−0.5 to −1 pp</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 to −3 pp</w:t>
            </w:r>
          </w:p>
        </w:tc>
        <w:tc>
          <w:tcPr>
            <w:tcW w:type="dxa" w:w="411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Fragmented standards raise compliance cost and slow cross-border deployment (Section 5.2).</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 Great Repricing</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−0.5 pp</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 to −5 pp</w:t>
            </w:r>
          </w:p>
        </w:tc>
        <w:tc>
          <w:tcPr>
            <w:tcW w:type="dxa" w:w="411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Disorderly stranded-asset write-downs trigger the debt-deflation risk in the Risk Register (Section 6.0).</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4. Cognitive Bottleneck</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−0.5 pp</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 to −2 pp</w:t>
            </w:r>
          </w:p>
        </w:tc>
        <w:tc>
          <w:tcPr>
            <w:tcW w:type="dxa" w:w="411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Decision-making lag slows absorption of new technology into productive use.</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5. Human Factor</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−0.5 to −1 pp</w:t>
            </w:r>
          </w:p>
        </w:tc>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 to −4 pp</w:t>
            </w:r>
          </w:p>
        </w:tc>
        <w:tc>
          <w:tcPr>
            <w:tcW w:type="dxa" w:w="411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Populist backlash, policy reversal, and delayed reskilling (Section 5.5).</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6. Ethical/Environmental</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−0.5 pp</w:t>
            </w:r>
          </w:p>
        </w:tc>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 to −3 pp</w:t>
            </w:r>
          </w:p>
        </w:tc>
        <w:tc>
          <w:tcPr>
            <w:tcW w:type="dxa" w:w="411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Precautionary pacing intentionally trades some speed for legitimacy (Section 5.6) — this drag is partly a deliberate choice, not only a failure mode.</w:t>
            </w:r>
          </w:p>
        </w:tc>
      </w:tr>
    </w:tbl>
    <w:p>
      <w:pPr>
        <w:spacing w:after="160"/>
      </w:pPr>
      <w:r>
        <w:t xml:space="preserve"/>
      </w:r>
    </w:p>
    <w:p>
      <w:pPr>
        <w:spacing w:after="200" w:line="320"/>
      </w:pPr>
      <w:r>
        <w:rPr>
          <w:rFonts w:ascii="Arial" w:cs="Arial" w:eastAsia="Arial" w:hAnsi="Arial"/>
          <w:color w:val="1A1A1A"/>
          <w:sz w:val="22"/>
          <w:szCs w:val="22"/>
        </w:rPr>
        <w:t xml:space="preserve">Summing the “poorly-managed” column gives a combined drag of roughly −9 to −21 percentage points off the 17% optimistic case — which mechanically explains how the Optimistic case can fall not just to the 15% base case but past the 12% Conservative case entirely if several filters fail at once. That is precisely the Systemic / Cascading risk named in Section 6.0: filter failures are the transmission mechanism for compounding risk, not a separate category of it. This is also why the 15% base case, not the 17% optimistic case, is this paper's actual planning recommendation (Section 2.4) — it already prices in “well-managed” drag on most of the six filters, rather than assuming none.</w:t>
      </w:r>
    </w:p>
    <w:p>
      <w:r>
        <w:br w:type="page"/>
      </w:r>
    </w:p>
    <w:p>
      <w:pPr>
        <w:pStyle w:val="Heading1"/>
        <w:spacing w:after="160" w:before="480"/>
      </w:pPr>
      <w:r>
        <w:rPr>
          <w:rFonts w:ascii="Arial" w:cs="Arial" w:eastAsia="Arial" w:hAnsi="Arial"/>
          <w:b/>
          <w:bCs/>
          <w:color w:val="0A2540"/>
          <w:sz w:val="36"/>
          <w:szCs w:val="36"/>
        </w:rPr>
        <w:t xml:space="preserve">6.0 · The Risk Register</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217"/>
        <w:gridCol w:w="2527"/>
        <w:gridCol w:w="749"/>
        <w:gridCol w:w="1030"/>
        <w:gridCol w:w="3838"/>
      </w:tblGrid>
      <w:tr>
        <w:trPr>
          <w:tblHeader/>
        </w:trPr>
        <w:tc>
          <w:tcPr>
            <w:tcW w:type="dxa" w:w="121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Category</w:t>
            </w:r>
          </w:p>
        </w:tc>
        <w:tc>
          <w:tcPr>
            <w:tcW w:type="dxa" w:w="252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Specific Risk</w:t>
            </w:r>
          </w:p>
        </w:tc>
        <w:tc>
          <w:tcPr>
            <w:tcW w:type="dxa" w:w="74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Prob.</w:t>
            </w:r>
          </w:p>
        </w:tc>
        <w:tc>
          <w:tcPr>
            <w:tcW w:type="dxa" w:w="103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Impact</w:t>
            </w:r>
          </w:p>
        </w:tc>
        <w:tc>
          <w:tcPr>
            <w:tcW w:type="dxa" w:w="383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Mitigation</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Technological</w:t>
            </w:r>
          </w:p>
        </w:tc>
        <w:tc>
          <w:tcPr>
            <w:tcW w:type="dxa" w:w="252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Fusion fails to achieve net-positive energy by 2040.</w:t>
            </w:r>
          </w:p>
        </w:tc>
        <w:tc>
          <w:tcPr>
            <w:tcW w:type="dxa" w:w="74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Medium</w:t>
            </w:r>
          </w:p>
        </w:tc>
        <w:tc>
          <w:tcPr>
            <w:tcW w:type="dxa" w:w="103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Catastrophic</w:t>
            </w:r>
          </w:p>
        </w:tc>
        <w:tc>
          <w:tcPr>
            <w:tcW w:type="dxa" w:w="383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Maintain parallel investment in renewables + storage; avoid single-point-of-failure dependency.</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Technological</w:t>
            </w:r>
          </w:p>
        </w:tc>
        <w:tc>
          <w:tcPr>
            <w:tcW w:type="dxa" w:w="252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alignment failure (runaway AI, or AI used for mass surveillance/control).</w:t>
            </w:r>
          </w:p>
        </w:tc>
        <w:tc>
          <w:tcPr>
            <w:tcW w:type="dxa" w:w="74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Medium</w:t>
            </w:r>
          </w:p>
        </w:tc>
        <w:tc>
          <w:tcPr>
            <w:tcW w:type="dxa" w:w="103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Existential</w:t>
            </w:r>
          </w:p>
        </w:tc>
        <w:tc>
          <w:tcPr>
            <w:tcW w:type="dxa" w:w="383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Global AI safety treaty; “kill switches” and human-in-the-loop requirements for critical systems.</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Economic</w:t>
            </w:r>
          </w:p>
        </w:tc>
        <w:tc>
          <w:tcPr>
            <w:tcW w:type="dxa" w:w="252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The “Great Repricing” triggers a debt-deflation spiral (stranded assets cause cascading defaults).</w:t>
            </w:r>
          </w:p>
        </w:tc>
        <w:tc>
          <w:tcPr>
            <w:tcW w:type="dxa" w:w="74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High</w:t>
            </w:r>
          </w:p>
        </w:tc>
        <w:tc>
          <w:tcPr>
            <w:tcW w:type="dxa" w:w="103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Catastrophic</w:t>
            </w:r>
          </w:p>
        </w:tc>
        <w:tc>
          <w:tcPr>
            <w:tcW w:type="dxa" w:w="383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Managed write-downs; central bank backstops; CBDCs with programmable stability mechanisms.</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Social</w:t>
            </w:r>
          </w:p>
        </w:tc>
        <w:tc>
          <w:tcPr>
            <w:tcW w:type="dxa" w:w="252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Mass unemployment from AI/robotics leads to civil unrest and populist backlashes.</w:t>
            </w:r>
          </w:p>
        </w:tc>
        <w:tc>
          <w:tcPr>
            <w:tcW w:type="dxa" w:w="74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High</w:t>
            </w:r>
          </w:p>
        </w:tc>
        <w:tc>
          <w:tcPr>
            <w:tcW w:type="dxa" w:w="103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Severe</w:t>
            </w:r>
          </w:p>
        </w:tc>
        <w:tc>
          <w:tcPr>
            <w:tcW w:type="dxa" w:w="383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Rapid deployment of UBI + “Blessings Equity”; massive reskilling programmes; new social contracts.</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Geopolitical</w:t>
            </w:r>
          </w:p>
        </w:tc>
        <w:tc>
          <w:tcPr>
            <w:tcW w:type="dxa" w:w="252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Resource wars over seabed, Arctic, or asteroid mining rights.</w:t>
            </w:r>
          </w:p>
        </w:tc>
        <w:tc>
          <w:tcPr>
            <w:tcW w:type="dxa" w:w="74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Medium</w:t>
            </w:r>
          </w:p>
        </w:tc>
        <w:tc>
          <w:tcPr>
            <w:tcW w:type="dxa" w:w="103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Catastrophic</w:t>
            </w:r>
          </w:p>
        </w:tc>
        <w:tc>
          <w:tcPr>
            <w:tcW w:type="dxa" w:w="383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Planetary Resource Authority; binding treaties; shared ownership models.</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Geopolitical</w:t>
            </w:r>
          </w:p>
        </w:tc>
        <w:tc>
          <w:tcPr>
            <w:tcW w:type="dxa" w:w="252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US–China decoupling escalates into a new Cold War or hot conflict.</w:t>
            </w:r>
          </w:p>
        </w:tc>
        <w:tc>
          <w:tcPr>
            <w:tcW w:type="dxa" w:w="74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Medium</w:t>
            </w:r>
          </w:p>
        </w:tc>
        <w:tc>
          <w:tcPr>
            <w:tcW w:type="dxa" w:w="103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Catastrophic</w:t>
            </w:r>
          </w:p>
        </w:tc>
        <w:tc>
          <w:tcPr>
            <w:tcW w:type="dxa" w:w="383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Multipolar trade corridors; neutral hubs (ASEAN, UAE, India) as mediators.</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Governance</w:t>
            </w:r>
          </w:p>
        </w:tc>
        <w:tc>
          <w:tcPr>
            <w:tcW w:type="dxa" w:w="252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Institutional paralysis — old systems block new technologies (e.g. fusion permits, AI regulations).</w:t>
            </w:r>
          </w:p>
        </w:tc>
        <w:tc>
          <w:tcPr>
            <w:tcW w:type="dxa" w:w="74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High</w:t>
            </w:r>
          </w:p>
        </w:tc>
        <w:tc>
          <w:tcPr>
            <w:tcW w:type="dxa" w:w="103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Severe</w:t>
            </w:r>
          </w:p>
        </w:tc>
        <w:tc>
          <w:tcPr>
            <w:tcW w:type="dxa" w:w="383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AI-augmented governance; sunset clauses for old regulations; “regulatory sandboxes” for new tech.</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Environmental</w:t>
            </w:r>
          </w:p>
        </w:tc>
        <w:tc>
          <w:tcPr>
            <w:tcW w:type="dxa" w:w="252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Fusion or AI infrastructure creates new, unforeseen ecological damage.</w:t>
            </w:r>
          </w:p>
        </w:tc>
        <w:tc>
          <w:tcPr>
            <w:tcW w:type="dxa" w:w="74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Low</w:t>
            </w:r>
          </w:p>
        </w:tc>
        <w:tc>
          <w:tcPr>
            <w:tcW w:type="dxa" w:w="103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Moderate</w:t>
            </w:r>
          </w:p>
        </w:tc>
        <w:tc>
          <w:tcPr>
            <w:tcW w:type="dxa" w:w="383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Precautionary principle; biomimetic design; continuous environmental monitoring.</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Cognitive</w:t>
            </w:r>
          </w:p>
        </w:tc>
        <w:tc>
          <w:tcPr>
            <w:tcW w:type="dxa" w:w="252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Human decision-making cannot keep pace with AI-generated complexity.</w:t>
            </w:r>
          </w:p>
        </w:tc>
        <w:tc>
          <w:tcPr>
            <w:tcW w:type="dxa" w:w="74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High</w:t>
            </w:r>
          </w:p>
        </w:tc>
        <w:tc>
          <w:tcPr>
            <w:tcW w:type="dxa" w:w="103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Severe</w:t>
            </w:r>
          </w:p>
        </w:tc>
        <w:tc>
          <w:tcPr>
            <w:tcW w:type="dxa" w:w="383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Human augmentation; new education systems; “silence economy” to preserve deep thinking.</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Human Factor</w:t>
            </w:r>
          </w:p>
        </w:tc>
        <w:tc>
          <w:tcPr>
            <w:tcW w:type="dxa" w:w="252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Incumbent resistance and populist backlash derail the transition.</w:t>
            </w:r>
          </w:p>
        </w:tc>
        <w:tc>
          <w:tcPr>
            <w:tcW w:type="dxa" w:w="74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High</w:t>
            </w:r>
          </w:p>
        </w:tc>
        <w:tc>
          <w:tcPr>
            <w:tcW w:type="dxa" w:w="103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Severe</w:t>
            </w:r>
          </w:p>
        </w:tc>
        <w:tc>
          <w:tcPr>
            <w:tcW w:type="dxa" w:w="383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Strong narratives; inclusion; compensation for losers; patience.</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Black Swan</w:t>
            </w:r>
          </w:p>
        </w:tc>
        <w:tc>
          <w:tcPr>
            <w:tcW w:type="dxa" w:w="252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Unknown unknowns (pandemic, solar flare, asteroid impact).</w:t>
            </w:r>
          </w:p>
        </w:tc>
        <w:tc>
          <w:tcPr>
            <w:tcW w:type="dxa" w:w="74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Low</w:t>
            </w:r>
          </w:p>
        </w:tc>
        <w:tc>
          <w:tcPr>
            <w:tcW w:type="dxa" w:w="103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Catastrophic</w:t>
            </w:r>
          </w:p>
        </w:tc>
        <w:tc>
          <w:tcPr>
            <w:tcW w:type="dxa" w:w="383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Global resilience fund; diversified systems; scenario planning for all plausible catastrophes.</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Systemic</w:t>
            </w:r>
          </w:p>
        </w:tc>
        <w:tc>
          <w:tcPr>
            <w:tcW w:type="dxa" w:w="252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Multiple risks above fire simultaneously and compound — e.g. AI alignment failure coincides with resource wars and a debt-deflation spiral, each amplifying the others.</w:t>
            </w:r>
          </w:p>
        </w:tc>
        <w:tc>
          <w:tcPr>
            <w:tcW w:type="dxa" w:w="74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Medium</w:t>
            </w:r>
          </w:p>
        </w:tc>
        <w:tc>
          <w:tcPr>
            <w:tcW w:type="dxa" w:w="103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Existential</w:t>
            </w:r>
          </w:p>
        </w:tc>
        <w:tc>
          <w:tcPr>
            <w:tcW w:type="dxa" w:w="383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 standing cross-domain contingency cell (not a single-risk owner) empowered to act across the technological, economic, and geopolitical categories above simultaneously; pre-agreed circuit breakers rather than case-by-case response.</w:t>
            </w:r>
          </w:p>
        </w:tc>
      </w:tr>
    </w:tbl>
    <w:p>
      <w:pPr>
        <w:spacing w:after="200"/>
      </w:pPr>
      <w:r>
        <w:t xml:space="preserve"/>
      </w:r>
    </w:p>
    <w:p>
      <w:pPr>
        <w:spacing w:after="200" w:line="320"/>
      </w:pPr>
      <w:r>
        <w:rPr>
          <w:rFonts w:ascii="Arial" w:cs="Arial" w:eastAsia="Arial" w:hAnsi="Arial"/>
          <w:color w:val="1A1A1A"/>
          <w:sz w:val="22"/>
          <w:szCs w:val="22"/>
        </w:rPr>
        <w:t xml:space="preserve">This last category is the one both external reviews of this paper flagged as the true tail risk: the register above is organised by category because that aids planning, but the categories are not independent.</w:t>
      </w:r>
      <w:r>
        <w:rPr>
          <w:rStyle w:val="FootnoteReference"/>
        </w:rPr>
        <w:footnoteReference w:id="24"/>
      </w:r>
      <w:r>
        <w:rPr>
          <w:rFonts w:ascii="Arial" w:cs="Arial" w:eastAsia="Arial" w:hAnsi="Arial"/>
          <w:color w:val="1A1A1A"/>
          <w:sz w:val="22"/>
          <w:szCs w:val="22"/>
        </w:rPr>
        <w:t xml:space="preserve"> History offers two working examples of exactly this compounding pattern. In 2008, a Technological/Economic risk (mortgage-backed securitisation complexity) combined with a Governance risk (inadequate capital and liquidity regulation) and a Social risk (household over-leverage) to produce a crisis larger than any single-category model would have predicted. In the 1970s, an Economic shock (the oil embargo) combined with a Governance failure (monetary policy slow to respond to a supply-side, not demand-side, inflation problem) to produce stagflation — a compound outcome neither an energy analyst nor a monetary economist working alone would have fully anticipated. A resource war (Geopolitical) that triggers a debt-deflation spiral (Economic) while an ageing electorate loses patience with the transition (Human Factor, Section 5.5) is the same pattern a third time. The mitigation is structural — a body with standing authority to act across categories — rather than an addition to any one row.</w:t>
      </w:r>
    </w:p>
    <w:p>
      <w:r>
        <w:br w:type="page"/>
      </w:r>
    </w:p>
    <w:p>
      <w:pPr>
        <w:pStyle w:val="Heading1"/>
        <w:spacing w:after="160" w:before="480"/>
      </w:pPr>
      <w:r>
        <w:rPr>
          <w:rFonts w:ascii="Arial" w:cs="Arial" w:eastAsia="Arial" w:hAnsi="Arial"/>
          <w:b/>
          <w:bCs/>
          <w:color w:val="0A2540"/>
          <w:sz w:val="36"/>
          <w:szCs w:val="36"/>
        </w:rPr>
        <w:t xml:space="preserve">7.0 · Scenario Planning: Four Futures</w:t>
      </w:r>
    </w:p>
    <w:p>
      <w:pPr>
        <w:spacing w:after="200" w:line="320"/>
      </w:pPr>
      <w:r>
        <w:rPr>
          <w:rFonts w:ascii="Arial" w:cs="Arial" w:eastAsia="Arial" w:hAnsi="Arial"/>
          <w:color w:val="1A1A1A"/>
          <w:sz w:val="22"/>
          <w:szCs w:val="22"/>
        </w:rPr>
        <w:t xml:space="preserve">The future will not unfold in five neat phases. It will be messy, uneven, and full of surprises.</w:t>
      </w:r>
    </w:p>
    <w:p>
      <w:pPr>
        <w:pStyle w:val="Heading2"/>
        <w:spacing w:after="120" w:before="320"/>
      </w:pPr>
      <w:r>
        <w:rPr>
          <w:rFonts w:ascii="Arial" w:cs="Arial" w:eastAsia="Arial" w:hAnsi="Arial"/>
          <w:b/>
          <w:bCs/>
          <w:color w:val="0A2540"/>
          <w:sz w:val="26"/>
          <w:szCs w:val="26"/>
        </w:rPr>
        <w:t xml:space="preserve">7.1 The Four Scenarios</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872"/>
        <w:gridCol w:w="936"/>
        <w:gridCol w:w="3182"/>
        <w:gridCol w:w="3370"/>
      </w:tblGrid>
      <w:tr>
        <w:trPr>
          <w:tblHeader/>
        </w:trPr>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w:t>
            </w:r>
          </w:p>
        </w:tc>
        <w:tc>
          <w:tcPr>
            <w:tcW w:type="dxa" w:w="93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Prob.</w:t>
            </w:r>
          </w:p>
        </w:tc>
        <w:tc>
          <w:tcPr>
            <w:tcW w:type="dxa" w:w="318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Trigger</w:t>
            </w:r>
          </w:p>
        </w:tc>
        <w:tc>
          <w:tcPr>
            <w:tcW w:type="dxa" w:w="337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Outcome</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Golden Path</w:t>
            </w:r>
          </w:p>
        </w:tc>
        <w:tc>
          <w:tcPr>
            <w:tcW w:type="dxa" w:w="93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15%</w:t>
            </w:r>
          </w:p>
        </w:tc>
        <w:tc>
          <w:tcPr>
            <w:tcW w:type="dxa" w:w="318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Coordinated AI/fusion treaties; equitable distribution; strong leadership.</w:t>
            </w:r>
          </w:p>
        </w:tc>
        <w:tc>
          <w:tcPr>
            <w:tcW w:type="dxa" w:w="337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$1Q by 2045; global peace; broad prosperity.</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Fragmented Transition</w:t>
            </w:r>
          </w:p>
        </w:tc>
        <w:tc>
          <w:tcPr>
            <w:tcW w:type="dxa" w:w="93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50%</w:t>
            </w:r>
          </w:p>
        </w:tc>
        <w:tc>
          <w:tcPr>
            <w:tcW w:type="dxa" w:w="318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Regional competition; partial cooperation; uneven adoption.</w:t>
            </w:r>
          </w:p>
        </w:tc>
        <w:tc>
          <w:tcPr>
            <w:tcW w:type="dxa" w:w="337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$500–700T by 2045; inequality persists; some regions left behind.</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Conflict Cascade</w:t>
            </w:r>
          </w:p>
        </w:tc>
        <w:tc>
          <w:tcPr>
            <w:tcW w:type="dxa" w:w="93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25%</w:t>
            </w:r>
          </w:p>
        </w:tc>
        <w:tc>
          <w:tcPr>
            <w:tcW w:type="dxa" w:w="318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Resource wars; AI arms race; institutional collapse.</w:t>
            </w:r>
          </w:p>
        </w:tc>
        <w:tc>
          <w:tcPr>
            <w:tcW w:type="dxa" w:w="337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Stagnation; $300–400T by 2045; widespread suffering.</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Collapse</w:t>
            </w:r>
          </w:p>
        </w:tc>
        <w:tc>
          <w:tcPr>
            <w:tcW w:type="dxa" w:w="93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10%</w:t>
            </w:r>
          </w:p>
        </w:tc>
        <w:tc>
          <w:tcPr>
            <w:tcW w:type="dxa" w:w="318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Systemic failure (climate, war, AI misalignment).</w:t>
            </w:r>
          </w:p>
        </w:tc>
        <w:tc>
          <w:tcPr>
            <w:tcW w:type="dxa" w:w="337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Civilisation reset; loss of 2–3 centuries of progress.</w:t>
            </w:r>
          </w:p>
        </w:tc>
      </w:tr>
    </w:tbl>
    <w:p>
      <w:pPr>
        <w:spacing w:after="60" w:before="160"/>
        <w:jc w:val="center"/>
      </w:pPr>
      <w:r>
        <w:drawing>
          <wp:inline distT="0" distB="0" distL="0" distR="0">
            <wp:extent cx="5943600" cy="3581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43600" cy="3581400"/>
                    </a:xfrm>
                    <a:prstGeom prst="rect">
                      <a:avLst/>
                    </a:prstGeom>
                  </pic:spPr>
                </pic:pic>
              </a:graphicData>
            </a:graphic>
          </wp:inline>
        </w:drawing>
      </w:r>
    </w:p>
    <w:p>
      <w:pPr>
        <w:spacing w:after="220"/>
        <w:jc w:val="center"/>
      </w:pPr>
      <w:r>
        <w:rPr>
          <w:rFonts w:ascii="Georgia" w:cs="Georgia" w:eastAsia="Georgia" w:hAnsi="Georgia"/>
          <w:i/>
          <w:iCs/>
          <w:color w:val="555555"/>
          <w:sz w:val="18"/>
          <w:szCs w:val="18"/>
        </w:rPr>
        <w:t xml:space="preserve">Figure 3. Scenario fan from the shared 2026 baseline. The Golden Path line and Collapse line are point estimates; Fragmented Transition and Conflict Cascade are shown as ranges to reflect wider within-scenario uncertainty.</w:t>
      </w:r>
    </w:p>
    <w:p>
      <w:pPr>
        <w:spacing w:after="200" w:line="320"/>
      </w:pPr>
      <w:r>
        <w:rPr>
          <w:rFonts w:ascii="Arial" w:cs="Arial" w:eastAsia="Arial" w:hAnsi="Arial"/>
          <w:color w:val="1A1A1A"/>
          <w:sz w:val="22"/>
          <w:szCs w:val="22"/>
        </w:rPr>
        <w:t xml:space="preserve">The path-dependency argument in Section 3.2 applies directly here: this fan is not four equally-reachable endpoints chosen in 2045, it is a set of paths that increasingly diverge from decisions made in Phase 1 (2026–2029). The width of the Fragmented Transition and Conflict Cascade bands above reflects that a bloc's early regulatory and resource-claim choices — not just its 2045 policy stance — determine which part of that band it lands in.</w:t>
      </w:r>
    </w:p>
    <w:p>
      <w:pPr>
        <w:spacing w:after="240"/>
      </w:pPr>
      <w:r>
        <w:t xml:space="preserve"/>
      </w:r>
    </w:p>
    <w:p>
      <w:pPr>
        <w:pStyle w:val="Heading2"/>
        <w:spacing w:after="120" w:before="320"/>
      </w:pPr>
      <w:r>
        <w:rPr>
          <w:rFonts w:ascii="Arial" w:cs="Arial" w:eastAsia="Arial" w:hAnsi="Arial"/>
          <w:b/>
          <w:bCs/>
          <w:color w:val="0A2540"/>
          <w:sz w:val="26"/>
          <w:szCs w:val="26"/>
        </w:rPr>
        <w:t xml:space="preserve">7.2 Navigating the Scenarios</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621"/>
        <w:gridCol w:w="6739"/>
      </w:tblGrid>
      <w:tr>
        <w:trPr>
          <w:tblHeader/>
        </w:trPr>
        <w:tc>
          <w:tcPr>
            <w:tcW w:type="dxa" w:w="262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w:t>
            </w:r>
          </w:p>
        </w:tc>
        <w:tc>
          <w:tcPr>
            <w:tcW w:type="dxa" w:w="673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Strategic Response</w:t>
            </w:r>
          </w:p>
        </w:tc>
      </w:tr>
      <w:tr>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Golden Path</w:t>
            </w:r>
          </w:p>
        </w:tc>
        <w:tc>
          <w:tcPr>
            <w:tcW w:type="dxa" w:w="673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Accelerate; invest aggressively; build institutions.</w:t>
            </w:r>
          </w:p>
        </w:tc>
      </w:tr>
      <w:tr>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Fragmented Transition</w:t>
            </w:r>
          </w:p>
        </w:tc>
        <w:tc>
          <w:tcPr>
            <w:tcW w:type="dxa" w:w="673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Hedge; build regional resilience; prepare for competition.</w:t>
            </w:r>
          </w:p>
        </w:tc>
      </w:tr>
      <w:tr>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Conflict Cascade</w:t>
            </w:r>
          </w:p>
        </w:tc>
        <w:tc>
          <w:tcPr>
            <w:tcW w:type="dxa" w:w="673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Defensive investments; diversify supply chains; build peace coalitions.</w:t>
            </w:r>
          </w:p>
        </w:tc>
      </w:tr>
      <w:tr>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Collapse</w:t>
            </w:r>
          </w:p>
        </w:tc>
        <w:tc>
          <w:tcPr>
            <w:tcW w:type="dxa" w:w="673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Resilience; survival infrastructure; preserve knowledge.</w:t>
            </w:r>
          </w:p>
        </w:tc>
      </w:tr>
    </w:tbl>
    <w:p>
      <w:pPr>
        <w:spacing w:after="240"/>
      </w:pPr>
      <w:r>
        <w:t xml:space="preserve"/>
      </w:r>
    </w:p>
    <w:tbl>
      <w:tblPr>
        <w:tblW w:type="dxa" w:w="9360"/>
        <w:tblBorders>
          <w:top w:val="single" w:color="D4D0C8" w:sz="4"/>
          <w:left w:val="single" w:color="B8860B" w:sz="24"/>
          <w:bottom w:val="single" w:color="D4D0C8" w:sz="4"/>
          <w:right w:val="single" w:color="D4D0C8" w:sz="4"/>
          <w:insideH w:val="single" w:color="auto" w:sz="4"/>
          <w:insideV w:val="single" w:color="auto" w:sz="4"/>
        </w:tblBorders>
      </w:tblPr>
      <w:tblGrid>
        <w:gridCol w:w="9360"/>
      </w:tblGrid>
      <w:tr>
        <w:tc>
          <w:tcPr>
            <w:tcW w:type="dxa" w:w="9360"/>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KEY INSIGHT</w:t>
            </w:r>
          </w:p>
          <w:p>
            <w:pPr>
              <w:spacing w:after="0" w:line="300"/>
            </w:pPr>
            <w:r>
              <w:rPr>
                <w:rFonts w:ascii="Arial" w:cs="Arial" w:eastAsia="Arial" w:hAnsi="Arial"/>
                <w:i/>
                <w:iCs/>
                <w:color w:val="1A1A1A"/>
                <w:sz w:val="22"/>
                <w:szCs w:val="22"/>
              </w:rPr>
              <w:t xml:space="preserve">The most likely scenario is Fragmented Transition. We should plan for that, while hoping for the Golden Path and preparing for the worst.</w:t>
            </w:r>
          </w:p>
        </w:tc>
      </w:tr>
    </w:tbl>
    <w:p>
      <w:r>
        <w:br w:type="page"/>
      </w:r>
    </w:p>
    <w:p>
      <w:pPr>
        <w:pStyle w:val="Heading1"/>
        <w:spacing w:after="160" w:before="480"/>
      </w:pPr>
      <w:r>
        <w:rPr>
          <w:rFonts w:ascii="Arial" w:cs="Arial" w:eastAsia="Arial" w:hAnsi="Arial"/>
          <w:b/>
          <w:bCs/>
          <w:color w:val="0A2540"/>
          <w:sz w:val="36"/>
          <w:szCs w:val="36"/>
        </w:rPr>
        <w:t xml:space="preserve">8.0 · The 15-Year Action Timeline</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217"/>
        <w:gridCol w:w="1872"/>
        <w:gridCol w:w="1872"/>
        <w:gridCol w:w="2059"/>
        <w:gridCol w:w="2340"/>
      </w:tblGrid>
      <w:tr>
        <w:trPr>
          <w:tblHeader/>
        </w:trPr>
        <w:tc>
          <w:tcPr>
            <w:tcW w:type="dxa" w:w="121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Phase / Years</w:t>
            </w:r>
          </w:p>
        </w:tc>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Energy</w:t>
            </w:r>
          </w:p>
        </w:tc>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AI &amp; Robotics</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Finance &amp; Economy</w:t>
            </w:r>
          </w:p>
        </w:tc>
        <w:tc>
          <w:tcPr>
            <w:tcW w:type="dxa" w:w="234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Governance &amp; Society</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1
2026–2029</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G20 commits to $5T+ annual energy transition.</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Physical AI “Windows” moment arrives.</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Launch of “Fusion Bonds” and “AI Infrastructure Funds.”</w:t>
            </w:r>
          </w:p>
        </w:tc>
        <w:tc>
          <w:tcPr>
            <w:tcW w:type="dxa" w:w="234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Planetary Resource Authority established. “Blessings Equity” pilots in 10 countries.</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Phase 2
2029–2033</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First commercial fusion prototypes achieve net-positive energy.</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Humanoid robots enter mass production.</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CBDCs launched in 20 major economies.</w:t>
            </w:r>
          </w:p>
        </w:tc>
        <w:tc>
          <w:tcPr>
            <w:tcW w:type="dxa" w:w="234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AI-augmented regulatory systems go live in major economies.</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3
2033–2037</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Fossil fuel peak demand; rapid retirement of coal and oil assets.</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“Human-equivalent” AI workforce reaches 1 billion agents.</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Managed write-downs of stranded assets; fusion bonds become mainstream.</w:t>
            </w:r>
          </w:p>
        </w:tc>
        <w:tc>
          <w:tcPr>
            <w:tcW w:type="dxa" w:w="234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“School Without Walls” global AI-powered education platform launches.</w:t>
            </w:r>
          </w:p>
        </w:tc>
      </w:tr>
      <w:tr>
        <w:tc>
          <w:tcPr>
            <w:tcW w:type="dxa" w:w="121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Phase 4
2037–2041</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Fusion provides &gt;10% of global baseload power.</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Physical AI ecosystem valued at $50T.</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Global GDP crosses $400T. Wealth crosses $1Q.</w:t>
            </w:r>
          </w:p>
        </w:tc>
        <w:tc>
          <w:tcPr>
            <w:tcW w:type="dxa" w:w="234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UBI expands to 100 countries; Gini coefficient declines for first time in 50 years.</w:t>
            </w:r>
          </w:p>
        </w:tc>
      </w:tr>
      <w:tr>
        <w:tc>
          <w:tcPr>
            <w:tcW w:type="dxa" w:w="121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5
2041–2045</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Fusion provides &gt;25% of global baseload power.</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Physical AI workforce exceeds 10 billion human-equivalent agents.</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Global wealth crosses $1.5Q. Debt-to-GDP ratio falls below 0.6x.</w:t>
            </w:r>
          </w:p>
        </w:tc>
        <w:tc>
          <w:tcPr>
            <w:tcW w:type="dxa" w:w="234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Bio-economy crosses $30T. On track for ~$1.5Q wealth by 2045.</w:t>
            </w:r>
          </w:p>
        </w:tc>
      </w:tr>
    </w:tbl>
    <w:p>
      <w:pPr>
        <w:spacing w:after="200"/>
      </w:pPr>
      <w:r>
        <w:t xml:space="preserve"/>
      </w:r>
    </w:p>
    <w:p>
      <w:pPr>
        <w:spacing w:after="200" w:line="320"/>
      </w:pPr>
      <w:r>
        <w:rPr>
          <w:rFonts w:ascii="Arial" w:cs="Arial" w:eastAsia="Arial" w:hAnsi="Arial"/>
          <w:b/>
          <w:bCs/>
          <w:color w:val="1A1A1A"/>
          <w:sz w:val="22"/>
          <w:szCs w:val="22"/>
        </w:rPr>
        <w:t xml:space="preserve">Headline KPIs Per Phase (For Progress Tracking)</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872"/>
        <w:gridCol w:w="7488"/>
      </w:tblGrid>
      <w:tr>
        <w:trPr>
          <w:tblHeader/>
        </w:trPr>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Phase</w:t>
            </w:r>
          </w:p>
        </w:tc>
        <w:tc>
          <w:tcPr>
            <w:tcW w:type="dxa" w:w="748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Single Measurable KPI</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1 (2026–2029)</w:t>
            </w:r>
          </w:p>
        </w:tc>
        <w:tc>
          <w:tcPr>
            <w:tcW w:type="dxa" w:w="748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 10 countries running a Blessings Equity pilot; first Fusion Bond issuance completed.</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Phase 2 (2029–2033)</w:t>
            </w:r>
          </w:p>
        </w:tc>
        <w:tc>
          <w:tcPr>
            <w:tcW w:type="dxa" w:w="748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 1 fusion facility achieves sustained net-positive energy at pilot-plant scale; CBDCs live in ≥ 20 major economies.</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3 (2033–2037)</w:t>
            </w:r>
          </w:p>
        </w:tc>
        <w:tc>
          <w:tcPr>
            <w:tcW w:type="dxa" w:w="748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Fossil fuel demand registers its first sustained year-on-year global decline; School Without Walls reaches its first 100 million learners.</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Phase 4 (2037–2041)</w:t>
            </w:r>
          </w:p>
        </w:tc>
        <w:tc>
          <w:tcPr>
            <w:tcW w:type="dxa" w:w="748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Global GDP confirmed above $400T in IMF/World Bank data; fusion supplies ≥ 10% of at least one G20 economy's baseload power.</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Phase 5 (2041–2045)</w:t>
            </w:r>
          </w:p>
        </w:tc>
        <w:tc>
          <w:tcPr>
            <w:tcW w:type="dxa" w:w="748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Global Gini coefficient registers its first multi-year decline in the dataset's history; fusion supplies ≥ 25% of global baseload power.</w:t>
            </w:r>
          </w:p>
        </w:tc>
      </w:tr>
    </w:tbl>
    <w:p>
      <w:pPr>
        <w:spacing w:after="120"/>
      </w:pPr>
      <w:r>
        <w:t xml:space="preserve"/>
      </w:r>
    </w:p>
    <w:p>
      <w:pPr>
        <w:spacing w:after="200" w:line="320"/>
      </w:pPr>
      <w:r>
        <w:rPr>
          <w:rFonts w:ascii="Arial" w:cs="Arial" w:eastAsia="Arial" w:hAnsi="Arial"/>
          <w:color w:val="1A1A1A"/>
          <w:sz w:val="22"/>
          <w:szCs w:val="22"/>
        </w:rPr>
        <w:t xml:space="preserve">These are single, checkable numbers rather than the fuller strategic objectives in the main table above — the point is to give a reader a falsifiable way to check, in 2029, 2033, 2037, and 2041, whether the Theseus Trajectory is still on the Golden Path, has slid into Fragmented Transition, or has fallen further.</w:t>
      </w:r>
    </w:p>
    <w:p>
      <w:r>
        <w:br w:type="page"/>
      </w:r>
    </w:p>
    <w:p>
      <w:pPr>
        <w:pStyle w:val="Heading1"/>
        <w:spacing w:after="160" w:before="480"/>
      </w:pPr>
      <w:r>
        <w:rPr>
          <w:rFonts w:ascii="Arial" w:cs="Arial" w:eastAsia="Arial" w:hAnsi="Arial"/>
          <w:b/>
          <w:bCs/>
          <w:color w:val="0A2540"/>
          <w:sz w:val="36"/>
          <w:szCs w:val="36"/>
        </w:rPr>
        <w:t xml:space="preserve">9.0 · Conclusion: The Ship Sails On</w:t>
      </w:r>
    </w:p>
    <w:p>
      <w:pPr>
        <w:spacing w:after="200" w:line="320"/>
      </w:pPr>
      <w:r>
        <w:rPr>
          <w:rFonts w:ascii="Arial" w:cs="Arial" w:eastAsia="Arial" w:hAnsi="Arial"/>
          <w:b/>
          <w:bCs/>
          <w:color w:val="1A1A1A"/>
          <w:sz w:val="22"/>
          <w:szCs w:val="22"/>
        </w:rPr>
        <w:t xml:space="preserve">The Theseus Thesis is this:</w:t>
      </w:r>
    </w:p>
    <w:p>
      <w:pPr>
        <w:spacing w:after="200" w:line="320"/>
      </w:pPr>
      <w:r>
        <w:rPr>
          <w:rFonts w:ascii="Arial" w:cs="Arial" w:eastAsia="Arial" w:hAnsi="Arial"/>
          <w:color w:val="1A1A1A"/>
          <w:sz w:val="22"/>
          <w:szCs w:val="22"/>
        </w:rPr>
        <w:t xml:space="preserve">Within this decade, the physics should largely be solved, the hardware increasingly abundant, the software substantially more capable. Fusion's timeline (Section 2.1) is the main exception — it is the one component this paper cannot place with the same confidence as the others.</w:t>
      </w:r>
    </w:p>
    <w:p>
      <w:pPr>
        <w:spacing w:after="200" w:line="320"/>
      </w:pPr>
      <w:r>
        <w:rPr>
          <w:rFonts w:ascii="Arial" w:cs="Arial" w:eastAsia="Arial" w:hAnsi="Arial"/>
          <w:color w:val="1A1A1A"/>
          <w:sz w:val="22"/>
          <w:szCs w:val="22"/>
        </w:rPr>
        <w:t xml:space="preserve">The largest remaining variable is human will and institutional imagination.</w:t>
      </w:r>
    </w:p>
    <w:p>
      <w:pPr>
        <w:spacing w:after="200" w:line="320"/>
      </w:pPr>
      <w:r>
        <w:rPr>
          <w:rFonts w:ascii="Arial" w:cs="Arial" w:eastAsia="Arial" w:hAnsi="Arial"/>
          <w:color w:val="1A1A1A"/>
          <w:sz w:val="22"/>
          <w:szCs w:val="22"/>
        </w:rPr>
        <w:t xml:space="preserve">This is not a single, fixed future so much as a set of paths that diverge based on early choices — the Theseus framing of Section 3.0 applies here too. The trajectory is exponential where the underlying technology cooperates; it is not automatic. The central task is not invention but navigation: managing the Six Filters (Section 5.0) well enough that the Golden Path, not Fragmented Transition, becomes the modal outcome.</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Our North Star is $1Q by 2045. Our compass is intelligence, equity, and foresight.</w:t>
            </w:r>
          </w:p>
        </w:tc>
      </w:tr>
    </w:tbl>
    <w:p>
      <w:pPr>
        <w:spacing w:after="200" w:line="320"/>
      </w:pPr>
      <w:r>
        <w:rPr>
          <w:rFonts w:ascii="Arial" w:cs="Arial" w:eastAsia="Arial" w:hAnsi="Arial"/>
          <w:color w:val="1A1A1A"/>
          <w:sz w:val="22"/>
          <w:szCs w:val="22"/>
        </w:rPr>
        <w:t xml:space="preserve">The future here is something to build deliberately, not something that simply arrives — across energy, labour, finance, production, and governance at once.</w:t>
      </w:r>
    </w:p>
    <w:p>
      <w:pPr>
        <w:spacing w:after="200"/>
      </w:pPr>
      <w:r>
        <w:t xml:space="preserve"/>
      </w:r>
    </w:p>
    <w:p>
      <w:pPr>
        <w:pStyle w:val="Heading1"/>
        <w:spacing w:after="160" w:before="480"/>
      </w:pPr>
      <w:r>
        <w:rPr>
          <w:rFonts w:ascii="Arial" w:cs="Arial" w:eastAsia="Arial" w:hAnsi="Arial"/>
          <w:b/>
          <w:bCs/>
          <w:color w:val="0A2540"/>
          <w:sz w:val="36"/>
          <w:szCs w:val="36"/>
        </w:rPr>
        <w:t xml:space="preserve">10.0 · The Honest Declaration</w:t>
      </w:r>
    </w:p>
    <w:p>
      <w:pPr>
        <w:spacing w:after="200" w:line="320"/>
      </w:pPr>
      <w:r>
        <w:rPr>
          <w:rFonts w:ascii="Arial" w:cs="Arial" w:eastAsia="Arial" w:hAnsi="Arial"/>
          <w:color w:val="1A1A1A"/>
          <w:sz w:val="22"/>
          <w:szCs w:val="22"/>
        </w:rPr>
        <w:t xml:space="preserve">This white paper is structurally sound and strategically motivated. It is also optimistic about the timeline and should be read with that in mind.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underlying technology is plausible, on the evidence in Section 2.1.</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filters are real constraints, not rhetorical devices.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vision is directionally sound.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timeline may slip by 5–10 years — most plausibly due to execution risk in fusion commercialisation (Section 2.1's 2030 projection is the single most schedule-sensitive item in this paper, and the one every later section ultimately depends on) and the pace of cross-bloc governance coordination (Section 5.2).</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Governance is likely to be messier than the Theseus Solutions in Section 5.0 describe.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Distribution will be contested, and Blessings Equity's adoption path is more likely piecemeal than universal (Section 5.1).</w:t>
      </w:r>
    </w:p>
    <w:p>
      <w:pPr>
        <w:spacing w:after="200" w:line="320"/>
      </w:pPr>
      <w:r>
        <w:rPr>
          <w:rFonts w:ascii="Arial" w:cs="Arial" w:eastAsia="Arial" w:hAnsi="Arial"/>
          <w:color w:val="1A1A1A"/>
          <w:sz w:val="22"/>
          <w:szCs w:val="22"/>
        </w:rPr>
        <w:t xml:space="preserve">None of this is a reason to abandon the thesis. It is a reason to hold it with the appropriate amount of uncertainty.</w:t>
      </w:r>
    </w:p>
    <w:p>
      <w:pPr>
        <w:spacing w:after="200"/>
      </w:pPr>
      <w:r>
        <w:t xml:space="preserve"/>
      </w:r>
    </w:p>
    <w:p>
      <w:pPr>
        <w:pStyle w:val="Heading1"/>
        <w:spacing w:after="160" w:before="480"/>
      </w:pPr>
      <w:r>
        <w:rPr>
          <w:rFonts w:ascii="Arial" w:cs="Arial" w:eastAsia="Arial" w:hAnsi="Arial"/>
          <w:b/>
          <w:bCs/>
          <w:color w:val="0A2540"/>
          <w:sz w:val="36"/>
          <w:szCs w:val="36"/>
        </w:rPr>
        <w:t xml:space="preserve">11.0 · Final Declaration</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The quadrillion-dollar economy is an ambitious but not implausible extension of current trends — conditional on fusion timing, coordinated governance, and a distribution mechanism that actually gets built.</w:t>
            </w:r>
          </w:p>
        </w:tc>
      </w:tr>
    </w:tbl>
    <w:p>
      <w:pPr>
        <w:spacing w:after="200" w:line="320"/>
      </w:pPr>
      <w:r>
        <w:rPr>
          <w:rFonts w:ascii="Arial" w:cs="Arial" w:eastAsia="Arial" w:hAnsi="Arial"/>
          <w:color w:val="1A1A1A"/>
          <w:sz w:val="22"/>
          <w:szCs w:val="22"/>
        </w:rPr>
        <w:t xml:space="preserve">The central question is whether the will exists to replace each plank of the old economic order while it stays operational — not whether the underlying technology arrives.</w:t>
      </w:r>
    </w:p>
    <w:p>
      <w:pPr>
        <w:spacing w:after="200" w:line="320"/>
      </w:pPr>
      <w:r>
        <w:rPr>
          <w:rFonts w:ascii="Arial" w:cs="Arial" w:eastAsia="Arial" w:hAnsi="Arial"/>
          <w:color w:val="1A1A1A"/>
          <w:sz w:val="22"/>
          <w:szCs w:val="22"/>
        </w:rPr>
        <w:t xml:space="preserve">The intelligence, tools, and roadmap for this transition largely exist already.</w:t>
      </w:r>
    </w:p>
    <w:p>
      <w:pPr>
        <w:spacing w:after="200" w:line="320"/>
      </w:pPr>
      <w:r>
        <w:rPr>
          <w:rFonts w:ascii="Arial" w:cs="Arial" w:eastAsia="Arial" w:hAnsi="Arial"/>
          <w:b/>
          <w:bCs/>
          <w:color w:val="1A1A1A"/>
          <w:sz w:val="22"/>
          <w:szCs w:val="22"/>
        </w:rPr>
        <w:t xml:space="preserve">What remains is the will to act on them.</w:t>
      </w:r>
    </w:p>
    <w:p>
      <w:r>
        <w:br w:type="page"/>
      </w:r>
    </w:p>
    <w:p>
      <w:pPr>
        <w:pStyle w:val="Heading1"/>
        <w:spacing w:after="160" w:before="480"/>
      </w:pPr>
      <w:r>
        <w:rPr>
          <w:rFonts w:ascii="Arial" w:cs="Arial" w:eastAsia="Arial" w:hAnsi="Arial"/>
          <w:b/>
          <w:bCs/>
          <w:color w:val="0A2540"/>
          <w:sz w:val="36"/>
          <w:szCs w:val="36"/>
        </w:rPr>
        <w:t xml:space="preserve">Appendix A · Methodology &amp; Assumptions</w:t>
      </w:r>
    </w:p>
    <w:p>
      <w:pPr>
        <w:spacing w:after="200" w:line="320"/>
      </w:pPr>
      <w:r>
        <w:rPr>
          <w:rFonts w:ascii="Arial" w:cs="Arial" w:eastAsia="Arial" w:hAnsi="Arial"/>
          <w:color w:val="1A1A1A"/>
          <w:sz w:val="22"/>
          <w:szCs w:val="22"/>
        </w:rPr>
        <w:t xml:space="preserve">This appendix exists because every external review of this paper asked some version of the same question: show the model, not just the output. What follows is a brief, honest account of how the headline figures in this paper were derived — not a full econometric model, which is beyond the scope of a strategic foresight document, but enough for a sceptical reader to see where the numbers come from, how to reproduce them, and where they should be discounted.</w:t>
      </w:r>
    </w:p>
    <w:p>
      <w:pPr>
        <w:pStyle w:val="Heading2"/>
        <w:spacing w:after="120" w:before="320"/>
      </w:pPr>
      <w:r>
        <w:rPr>
          <w:rFonts w:ascii="Arial" w:cs="Arial" w:eastAsia="Arial" w:hAnsi="Arial"/>
          <w:b/>
          <w:bCs/>
          <w:color w:val="0A2540"/>
          <w:sz w:val="26"/>
          <w:szCs w:val="26"/>
        </w:rPr>
        <w:t xml:space="preserve">A.1 The Growth Model — Formula and Assumptions</w:t>
      </w:r>
    </w:p>
    <w:p>
      <w:pPr>
        <w:spacing w:after="200" w:line="320"/>
      </w:pPr>
      <w:r>
        <w:rPr>
          <w:rFonts w:ascii="Arial" w:cs="Arial" w:eastAsia="Arial" w:hAnsi="Arial"/>
          <w:color w:val="1A1A1A"/>
          <w:sz w:val="22"/>
          <w:szCs w:val="22"/>
        </w:rPr>
        <w:t xml:space="preserve">The core formula used throughout this paper is straightforward compounding:</w:t>
      </w:r>
    </w:p>
    <w:p>
      <w:pPr>
        <w:spacing w:after="200" w:line="320"/>
      </w:pPr>
      <w:r>
        <w:rPr>
          <w:rFonts w:ascii="Arial" w:cs="Arial" w:eastAsia="Arial" w:hAnsi="Arial"/>
          <w:b/>
          <w:bCs/>
          <w:color w:val="1A1A1A"/>
          <w:sz w:val="22"/>
          <w:szCs w:val="22"/>
        </w:rPr>
        <w:t xml:space="preserve">GDPₜ = GDP₀ × (1 + g)ᵗ</w:t>
      </w:r>
    </w:p>
    <w:p>
      <w:pPr>
        <w:spacing w:after="200" w:line="320"/>
      </w:pPr>
      <w:r>
        <w:rPr>
          <w:rFonts w:ascii="Arial" w:cs="Arial" w:eastAsia="Arial" w:hAnsi="Arial"/>
          <w:color w:val="1A1A1A"/>
          <w:sz w:val="22"/>
          <w:szCs w:val="22"/>
        </w:rPr>
        <w:t xml:space="preserve">where GDP₀ = $105T (2026 baseline), g is the effective annual growth rate, and t is years elapsed since 2026. The 17% “Theseus Growth Rate” (Section 2.3) is an additive decomposition of g, not a regression estimate: five growth engines (AI &amp; Automation, Energy Savings, Connectivity, AI-Driven Innovation, Emerging Markets) are each assigned an independent annual contribution based on comparable historical episodes — mobile internet penetration for Connectivity, the shale and renewables build-outs for Energy Savings, and cross-country catch-up growth literature for Emerging Markets:</w:t>
      </w:r>
    </w:p>
    <w:p>
      <w:pPr>
        <w:spacing w:after="200" w:line="320"/>
      </w:pPr>
      <w:r>
        <w:rPr>
          <w:rFonts w:ascii="Arial" w:cs="Arial" w:eastAsia="Arial" w:hAnsi="Arial"/>
          <w:b/>
          <w:bCs/>
          <w:color w:val="1A1A1A"/>
          <w:sz w:val="22"/>
          <w:szCs w:val="22"/>
        </w:rPr>
        <w:t xml:space="preserve">g = g(AI&amp;Automation) + g(Energy) + g(Connectivity) + g(Innovation) + g(EmergingMkts)</w:t>
      </w:r>
    </w:p>
    <w:p>
      <w:pPr>
        <w:spacing w:after="200" w:line="320"/>
      </w:pPr>
      <w:r>
        <w:rPr>
          <w:rFonts w:ascii="Arial" w:cs="Arial" w:eastAsia="Arial" w:hAnsi="Arial"/>
          <w:color w:val="1A1A1A"/>
          <w:sz w:val="22"/>
          <w:szCs w:val="22"/>
        </w:rPr>
        <w:t xml:space="preserve">This method assumes the five engines are independent and additive, which is a simplification: in practice they interact, sometimes reinforcing (AI accelerating energy R&amp;D) and sometimes competing for the same scarce capital and talent. Section 2.4's four-scenario sensitivity range (12% conservative / 15% base / 17% optimistic / 20% stretch) exists precisely to bound that simplification rather than hide it, and Section 2.5 stress-tests the formula against four specific named shocks rather than only abstract scenario labels.</w:t>
      </w:r>
    </w:p>
    <w:p>
      <w:pPr>
        <w:pStyle w:val="Heading2"/>
        <w:spacing w:after="120" w:before="320"/>
      </w:pPr>
      <w:r>
        <w:rPr>
          <w:rFonts w:ascii="Arial" w:cs="Arial" w:eastAsia="Arial" w:hAnsi="Arial"/>
          <w:b/>
          <w:bCs/>
          <w:color w:val="0A2540"/>
          <w:sz w:val="26"/>
          <w:szCs w:val="26"/>
        </w:rPr>
        <w:t xml:space="preserve">A.2 The Asset and Liability Projections</w:t>
      </w:r>
    </w:p>
    <w:p>
      <w:pPr>
        <w:spacing w:after="200" w:line="320"/>
      </w:pPr>
      <w:r>
        <w:rPr>
          <w:rFonts w:ascii="Arial" w:cs="Arial" w:eastAsia="Arial" w:hAnsi="Arial"/>
          <w:color w:val="1A1A1A"/>
          <w:sz w:val="22"/>
          <w:szCs w:val="22"/>
        </w:rPr>
        <w:t xml:space="preserve">The 2040 balance sheet (Section 4.0) is scenario-anchored, not forecast-derived: each asset class is projected forward using the growth logic of its own sector narrative (e.g. equities scale with the IPO pipeline and AI/robotics platform economics described in Section 3.2) rather than a single discount-rate model applied uniformly across asset classes. This is standard practice in long-horizon strategic foresight, but it means the individual asset-class figures should be read as directionally indicative — which asset classes gain share and which lose it — rather than as point estimates suitable for portfolio construction.</w:t>
      </w:r>
    </w:p>
    <w:p>
      <w:pPr>
        <w:pStyle w:val="Heading2"/>
        <w:spacing w:after="120" w:before="320"/>
      </w:pPr>
      <w:r>
        <w:rPr>
          <w:rFonts w:ascii="Arial" w:cs="Arial" w:eastAsia="Arial" w:hAnsi="Arial"/>
          <w:b/>
          <w:bCs/>
          <w:color w:val="0A2540"/>
          <w:sz w:val="26"/>
          <w:szCs w:val="26"/>
        </w:rPr>
        <w:t xml:space="preserve">A.3 What This Paper Is, and Is Not</w:t>
      </w:r>
    </w:p>
    <w:p>
      <w:pPr>
        <w:spacing w:after="200" w:line="320"/>
      </w:pPr>
      <w:r>
        <w:rPr>
          <w:rFonts w:ascii="Arial" w:cs="Arial" w:eastAsia="Arial" w:hAnsi="Arial"/>
          <w:color w:val="1A1A1A"/>
          <w:sz w:val="22"/>
          <w:szCs w:val="22"/>
        </w:rPr>
        <w:t xml:space="preserve">This is a strategic foresight document in the tradition of scenario planning, not an academic economic forecast and not an investment research product. Where a claim in this paper would benefit from a fuller model — the growth engines, the asset projections, the Bio-Economy CAGR (Section 4.1) — that limitation is flagged explicitly in the text rather than left for the reader to discover.</w:t>
      </w:r>
    </w:p>
    <w:p>
      <w:r>
        <w:br w:type="page"/>
      </w:r>
    </w:p>
    <w:p>
      <w:pPr>
        <w:pStyle w:val="Heading2"/>
        <w:spacing w:after="120" w:before="320"/>
      </w:pPr>
      <w:r>
        <w:rPr>
          <w:rFonts w:ascii="Arial" w:cs="Arial" w:eastAsia="Arial" w:hAnsi="Arial"/>
          <w:b/>
          <w:bCs/>
          <w:color w:val="0A2540"/>
          <w:sz w:val="26"/>
          <w:szCs w:val="26"/>
        </w:rPr>
        <w:t xml:space="preserve">A.4 Historical Precedent Benchmarking</w:t>
      </w:r>
    </w:p>
    <w:p>
      <w:pPr>
        <w:spacing w:after="200" w:line="320"/>
      </w:pPr>
      <w:r>
        <w:rPr>
          <w:rFonts w:ascii="Arial" w:cs="Arial" w:eastAsia="Arial" w:hAnsi="Arial"/>
          <w:color w:val="1A1A1A"/>
          <w:sz w:val="22"/>
          <w:szCs w:val="22"/>
        </w:rPr>
        <w:t xml:space="preserve">Section 2.4 notes that historical precedent for sustained multi-decade compounding at 15–17% is thin. This section makes that comparison explicit rather than gesturing at it.</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621"/>
        <w:gridCol w:w="1498"/>
        <w:gridCol w:w="1310"/>
        <w:gridCol w:w="3931"/>
      </w:tblGrid>
      <w:tr>
        <w:trPr>
          <w:tblHeader/>
        </w:trPr>
        <w:tc>
          <w:tcPr>
            <w:tcW w:type="dxa" w:w="262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Historical Episode</w:t>
            </w:r>
          </w:p>
        </w:tc>
        <w:tc>
          <w:tcPr>
            <w:tcW w:type="dxa" w:w="149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Sustained Annual Growth</w:t>
            </w:r>
          </w:p>
        </w:tc>
        <w:tc>
          <w:tcPr>
            <w:tcW w:type="dxa" w:w="131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Duration</w:t>
            </w:r>
          </w:p>
        </w:tc>
        <w:tc>
          <w:tcPr>
            <w:tcW w:type="dxa" w:w="393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Comparability to Theseus</w:t>
            </w:r>
          </w:p>
        </w:tc>
      </w:tr>
      <w:tr>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Post-WWII reconstruction (Western Europe, Japan)</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~8–10%</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~10–15 years</w:t>
            </w:r>
          </w:p>
        </w:tc>
        <w:tc>
          <w:tcPr>
            <w:tcW w:type="dxa" w:w="393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Shorter than the 19-year Theseus window; driven by rebuilding destroyed capital stock, a mechanism with no direct Theseus analogue.</w:t>
            </w:r>
          </w:p>
        </w:tc>
      </w:tr>
      <w:tr>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China, 1980–2010</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~10%</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~30 years</w:t>
            </w:r>
          </w:p>
        </w:tc>
        <w:tc>
          <w:tcPr>
            <w:tcW w:type="dxa" w:w="393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Longest comparable episode by duration, but driven substantially by labour reallocation from agriculture to manufacturing — a one-time structural shift the Theseus model does not rely on.</w:t>
            </w:r>
          </w:p>
        </w:tc>
      </w:tr>
      <w:tr>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Asian Tigers (South Korea, Taiwan, Singapore, Hong Kong), 1960s–1990s</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~7–9%</w:t>
            </w:r>
          </w:p>
        </w:tc>
        <w:tc>
          <w:tcPr>
            <w:tcW w:type="dxa" w:w="131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~25–30 years</w:t>
            </w:r>
          </w:p>
        </w:tc>
        <w:tc>
          <w:tcPr>
            <w:tcW w:type="dxa" w:w="393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Closest partial precedent for sustained export- and technology-led growth, but at roughly half the Theseus base-case rate.</w:t>
            </w:r>
          </w:p>
        </w:tc>
      </w:tr>
      <w:tr>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Theseus base case (this paper)</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15%</w:t>
            </w:r>
          </w:p>
        </w:tc>
        <w:tc>
          <w:tcPr>
            <w:tcW w:type="dxa" w:w="131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19 years (2026–2045)</w:t>
            </w:r>
          </w:p>
        </w:tc>
        <w:tc>
          <w:tcPr>
            <w:tcW w:type="dxa" w:w="393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Above all listed historical precedents on rate; broadly comparable to China on duration. This is the honest basis for the caution in Section 2.4.</w:t>
            </w:r>
          </w:p>
        </w:tc>
      </w:tr>
    </w:tbl>
    <w:p>
      <w:pPr>
        <w:spacing w:after="160"/>
      </w:pPr>
      <w:r>
        <w:t xml:space="preserve"/>
      </w:r>
    </w:p>
    <w:p>
      <w:pPr>
        <w:spacing w:after="200" w:line="320"/>
      </w:pPr>
      <w:r>
        <w:rPr>
          <w:rFonts w:ascii="Arial" w:cs="Arial" w:eastAsia="Arial" w:hAnsi="Arial"/>
          <w:color w:val="1A1A1A"/>
          <w:sz w:val="22"/>
          <w:szCs w:val="22"/>
        </w:rPr>
        <w:t xml:space="preserve">The conclusion this paper draws from its own table: 15% sustained for 19 years has no clean historical precedent at that combination of rate and duration. The closest matches (China, the Asian Tigers) ran longer at lower rates. This is a reason to treat 15% as this paper's genuine upper-bound planning assumption rather than a conservative one, and it is the single strongest argument in this appendix for reading Section 2.4's 12% Conservative case as more historically grounded than the 15% Base Case is.</w:t>
      </w:r>
    </w:p>
    <w:p>
      <w:pPr>
        <w:pStyle w:val="Heading2"/>
        <w:spacing w:after="120" w:before="320"/>
      </w:pPr>
      <w:r>
        <w:rPr>
          <w:rFonts w:ascii="Arial" w:cs="Arial" w:eastAsia="Arial" w:hAnsi="Arial"/>
          <w:b/>
          <w:bCs/>
          <w:color w:val="0A2540"/>
          <w:sz w:val="26"/>
          <w:szCs w:val="26"/>
        </w:rPr>
        <w:t xml:space="preserve">A.5 Productivity Decomposition: The AI &amp; Automation Engine</w:t>
      </w:r>
    </w:p>
    <w:p>
      <w:pPr>
        <w:spacing w:after="200" w:line="320"/>
      </w:pPr>
      <w:r>
        <w:rPr>
          <w:rFonts w:ascii="Arial" w:cs="Arial" w:eastAsia="Arial" w:hAnsi="Arial"/>
          <w:color w:val="1A1A1A"/>
          <w:sz w:val="22"/>
          <w:szCs w:val="22"/>
        </w:rPr>
        <w:t xml:space="preserve">The largest single growth engine (+5%, Section 2.3) is also the one most in need of a decomposition, since “AI productivity” is often asserted rather than broken down. Using standard growth-accounting logic (a simplified Solow-style decomposition), the +5% is treated as the sum of three components:</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1872"/>
        <w:gridCol w:w="5242"/>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Component</w:t>
            </w:r>
          </w:p>
        </w:tc>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Illustrative Contribution</w:t>
            </w:r>
          </w:p>
        </w:tc>
        <w:tc>
          <w:tcPr>
            <w:tcW w:type="dxa" w:w="524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Mechanism</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Capital deepening</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~+1.5 pp</w:t>
            </w:r>
          </w:p>
        </w:tc>
        <w:tc>
          <w:tcPr>
            <w:tcW w:type="dxa" w:w="524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infrastructure investment (Section 2.2, $1–2T/decade) raises the capital-to-labour ratio across the economy.</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Labour reallocation / substitution</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~+1.5 pp</w:t>
            </w:r>
          </w:p>
        </w:tc>
        <w:tc>
          <w:tcPr>
            <w:tcW w:type="dxa" w:w="524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and robotics substitute for labour in routine tasks, freeing human labour for higher-value work — the same mechanism Section 2.6 quantifies for ageing economies specifically.</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Total factor productivity (TFP)</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 pp</w:t>
            </w:r>
          </w:p>
        </w:tc>
        <w:tc>
          <w:tcPr>
            <w:tcW w:type="dxa" w:w="524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Genuine efficiency gains from AI-accelerated R&amp;D, faster iteration cycles, and reduced coordination costs — the least certain of the three components, and the one most exposed to the diminishing-returns critique of AI productivity claims.</w:t>
            </w:r>
          </w:p>
        </w:tc>
      </w:tr>
    </w:tbl>
    <w:p>
      <w:pPr>
        <w:spacing w:after="120"/>
      </w:pPr>
      <w:r>
        <w:t xml:space="preserve"/>
      </w:r>
    </w:p>
    <w:p>
      <w:pPr>
        <w:spacing w:after="200" w:line="320"/>
      </w:pPr>
      <w:r>
        <w:rPr>
          <w:rFonts w:ascii="Arial" w:cs="Arial" w:eastAsia="Arial" w:hAnsi="Arial"/>
          <w:color w:val="1A1A1A"/>
          <w:sz w:val="22"/>
          <w:szCs w:val="22"/>
        </w:rPr>
        <w:t xml:space="preserve">This decomposition is illustrative, not econometrically estimated from primary data — a fuller treatment would require the kind of firm-level productivity study this paper does not attempt. It exists here so the reader can see that the +5% figure is not one number asserted whole, but a sum of three components with different levels of confidence, the TFP component being the most speculative of the three.</w:t>
      </w:r>
    </w:p>
    <w:p>
      <w:r>
        <w:br w:type="page"/>
      </w:r>
    </w:p>
    <w:p>
      <w:pPr>
        <w:pStyle w:val="Heading2"/>
        <w:spacing w:after="120" w:before="320"/>
      </w:pPr>
      <w:r>
        <w:rPr>
          <w:rFonts w:ascii="Arial" w:cs="Arial" w:eastAsia="Arial" w:hAnsi="Arial"/>
          <w:b/>
          <w:bCs/>
          <w:color w:val="0A2540"/>
          <w:sz w:val="26"/>
          <w:szCs w:val="26"/>
        </w:rPr>
        <w:t xml:space="preserve">A.6 Demographic Substitution Elasticity Model</w:t>
      </w:r>
    </w:p>
    <w:p>
      <w:pPr>
        <w:spacing w:after="200" w:line="320"/>
      </w:pPr>
      <w:r>
        <w:rPr>
          <w:rFonts w:ascii="Arial" w:cs="Arial" w:eastAsia="Arial" w:hAnsi="Arial"/>
          <w:color w:val="1A1A1A"/>
          <w:sz w:val="22"/>
          <w:szCs w:val="22"/>
        </w:rPr>
        <w:t xml:space="preserve">Section 2.6 presents a simplified version of this model in the main text. In full: let π be a region's annual working-age population growth rate (negative for ageing economies) and let α be the region's share of the global +5% AI &amp; Automation engine. The “net-additive” contribution of AI &amp; Automation for that region is approximated as:</w:t>
      </w:r>
    </w:p>
    <w:p>
      <w:pPr>
        <w:spacing w:after="200" w:line="320"/>
      </w:pPr>
      <w:r>
        <w:rPr>
          <w:rFonts w:ascii="Arial" w:cs="Arial" w:eastAsia="Arial" w:hAnsi="Arial"/>
          <w:b/>
          <w:bCs/>
          <w:color w:val="1A1A1A"/>
          <w:sz w:val="22"/>
          <w:szCs w:val="22"/>
        </w:rPr>
        <w:t xml:space="preserve">g(net, region) = α × 5% + π</w:t>
      </w:r>
    </w:p>
    <w:p>
      <w:pPr>
        <w:spacing w:after="200" w:line="320"/>
      </w:pPr>
      <w:r>
        <w:rPr>
          <w:rFonts w:ascii="Arial" w:cs="Arial" w:eastAsia="Arial" w:hAnsi="Arial"/>
          <w:color w:val="1A1A1A"/>
          <w:sz w:val="22"/>
          <w:szCs w:val="22"/>
        </w:rPr>
        <w:t xml:space="preserve">For China (π ≈ −0.5%), this gives a net contribution of roughly α×5% − 0.5pp; for India/ASEAN/Africa (π ≈ +0.8%), the same engine's contribution is not reduced at all, and the region's population growth is additive on top of it via the separate Emerging Markets engine (Section 2.3). This is a first-order approximation — it assumes a linear, one-for-one offset between population decline and required AI substitution, which is almost certainly not the true relationship at the extremes (very rapid ageing likely requires more than proportionally more substitution, not less). A fuller treatment would specify a labour-augmenting production function with an explicit substitution elasticity parameter estimated from sector-level automation data, which is a natural extension for a future version of this paper rather than a gap this version claims to have closed.</w:t>
      </w:r>
    </w:p>
    <w:p>
      <w:pPr>
        <w:pStyle w:val="Heading2"/>
        <w:spacing w:after="120" w:before="320"/>
      </w:pPr>
      <w:r>
        <w:rPr>
          <w:rFonts w:ascii="Arial" w:cs="Arial" w:eastAsia="Arial" w:hAnsi="Arial"/>
          <w:b/>
          <w:bCs/>
          <w:color w:val="0A2540"/>
          <w:sz w:val="26"/>
          <w:szCs w:val="26"/>
        </w:rPr>
        <w:t xml:space="preserve">A.7 Historical Windfall Distribution: Three Comparators</w:t>
      </w:r>
    </w:p>
    <w:p>
      <w:pPr>
        <w:spacing w:after="200" w:line="320"/>
      </w:pPr>
      <w:r>
        <w:rPr>
          <w:rFonts w:ascii="Arial" w:cs="Arial" w:eastAsia="Arial" w:hAnsi="Arial"/>
          <w:color w:val="1A1A1A"/>
          <w:sz w:val="22"/>
          <w:szCs w:val="22"/>
        </w:rPr>
        <w:t xml:space="preserve">Section 5.1 references three historical distribution outcomes in support of the Blessings Equity design choice. This section gives the fuller comparison.</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3931"/>
        <w:gridCol w:w="3182"/>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Windfall</w:t>
            </w:r>
          </w:p>
        </w:tc>
        <w:tc>
          <w:tcPr>
            <w:tcW w:type="dxa" w:w="393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Distribution Outcome</w:t>
            </w:r>
          </w:p>
        </w:tc>
        <w:tc>
          <w:tcPr>
            <w:tcW w:type="dxa" w:w="318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Relevance to Blessings Equity</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Mobile telephony (global, 1990s–2010s)</w:t>
            </w:r>
          </w:p>
        </w:tc>
        <w:tc>
          <w:tcPr>
            <w:tcW w:type="dxa" w:w="393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Consumer surplus captured disproportionately by handset manufacturers and network operators; limited direct income redistribution to end users beyond service access itself.</w:t>
            </w:r>
          </w:p>
        </w:tc>
        <w:tc>
          <w:tcPr>
            <w:tcW w:type="dxa" w:w="318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The default outcome for a general-purpose technology windfall absent an explicit redistribution mechanism — what Blessings Equity is designed to avoid repeating for AI and fusion.</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Gulf-state oil rents (1970s–present)</w:t>
            </w:r>
          </w:p>
        </w:tc>
        <w:tc>
          <w:tcPr>
            <w:tcW w:type="dxa" w:w="393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Concentrated substantially in sovereign and royal balance sheets; citizen-level distribution uneven across the region and over time, though improving in some states via targeted social spending.</w:t>
            </w:r>
          </w:p>
        </w:tc>
        <w:tc>
          <w:tcPr>
            <w:tcW w:type="dxa" w:w="318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Demonstrates that resource rents alone do not guarantee broad distribution — the institutional design choice matters more than the resource itself.</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Norway's Government Pension Fund Global (1990–present)</w:t>
            </w:r>
          </w:p>
        </w:tc>
        <w:tc>
          <w:tcPr>
            <w:tcW w:type="dxa" w:w="393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The same underlying resource (oil) as the Gulf states, but with an explicit sovereign-wealth-fund structure, transparent governance, and broad-based fiscal use, producing materially more even long-run distribution.</w:t>
            </w:r>
          </w:p>
        </w:tc>
        <w:tc>
          <w:tcPr>
            <w:tcW w:type="dxa" w:w="318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The direct structural model for the Global Resource Trust (Appendix D.1) — chosen because it is the one precedent where the resource-to-distribution link was designed upfront rather than retrofitted.</w:t>
            </w:r>
          </w:p>
        </w:tc>
      </w:tr>
    </w:tbl>
    <w:p>
      <w:r>
        <w:br w:type="page"/>
      </w:r>
    </w:p>
    <w:p>
      <w:pPr>
        <w:pStyle w:val="Heading1"/>
        <w:spacing w:after="160" w:before="480"/>
      </w:pPr>
      <w:r>
        <w:rPr>
          <w:rFonts w:ascii="Arial" w:cs="Arial" w:eastAsia="Arial" w:hAnsi="Arial"/>
          <w:b/>
          <w:bCs/>
          <w:color w:val="0A2540"/>
          <w:sz w:val="36"/>
          <w:szCs w:val="36"/>
        </w:rPr>
        <w:t xml:space="preserve">Appendix B · Glossary</w:t>
      </w:r>
    </w:p>
    <w:p>
      <w:pPr>
        <w:spacing w:after="200" w:line="320"/>
      </w:pPr>
      <w:r>
        <w:rPr>
          <w:rFonts w:ascii="Arial" w:cs="Arial" w:eastAsia="Arial" w:hAnsi="Arial"/>
          <w:color w:val="1A1A1A"/>
          <w:sz w:val="22"/>
          <w:szCs w:val="22"/>
        </w:rPr>
        <w:t xml:space="preserve">Several terms in this paper carry specific meanings that may not be familiar to all readers. They are defined here, in the order they first appear in the paper.</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059"/>
        <w:gridCol w:w="7301"/>
      </w:tblGrid>
      <w:tr>
        <w:trPr>
          <w:tblHeader/>
        </w:trPr>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Term</w:t>
            </w:r>
          </w:p>
        </w:tc>
        <w:tc>
          <w:tcPr>
            <w:tcW w:type="dxa" w:w="730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Definition</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Stranded Assets</w:t>
            </w:r>
          </w:p>
        </w:tc>
        <w:tc>
          <w:tcPr>
            <w:tcW w:type="dxa" w:w="730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Assets (typically fossil fuel reserves or related infrastructure) that lose economic value before the end of their expected useful life, usually due to regulatory, market, or technological change (Section 1.2.3).</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Great Repricing</w:t>
            </w:r>
          </w:p>
        </w:tc>
        <w:tc>
          <w:tcPr>
            <w:tcW w:type="dxa" w:w="730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scenario in which near-free fusion energy invalidates the valuation basis of energy-intensive and carbon-heavy assets across the global economy simultaneously, rather than gradually (Section 5.3).</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Shadow Economy</w:t>
            </w:r>
          </w:p>
        </w:tc>
        <w:tc>
          <w:tcPr>
            <w:tcW w:type="dxa" w:w="730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Financial activity — particularly the $846T notional derivatives market referenced in Section 3.2 — that occurs outside conventional banking and regulatory oversight, and is therefore harder to monitor for systemic risk.</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Fusion Bonds</w:t>
            </w:r>
          </w:p>
        </w:tc>
        <w:tc>
          <w:tcPr>
            <w:tcW w:type="dxa" w:w="730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 proposed new debt instrument that securitises future revenue from fusion energy production, allowing capital markets to fund fusion build-out ahead of commercial operation (Sections 3.2, 5.3).</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CBDC</w:t>
            </w:r>
          </w:p>
        </w:tc>
        <w:tc>
          <w:tcPr>
            <w:tcW w:type="dxa" w:w="730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Central Bank Digital Currency — a digital form of a country's fiat currency, issued and backed directly by its central bank, as distinct from private cryptocurrency (Section 5.3).</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Blessings Equity</w:t>
            </w:r>
          </w:p>
        </w:tc>
        <w:tc>
          <w:tcPr>
            <w:tcW w:type="dxa" w:w="730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This paper's proposed distribution mechanism: a Global Resource Trust capitalised by 1% of fusion, asteroid, and seabed revenues, paying a universal basic dividend (Section 5.1).</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The Theseus Trajectory</w:t>
            </w:r>
          </w:p>
        </w:tc>
        <w:tc>
          <w:tcPr>
            <w:tcW w:type="dxa" w:w="730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This paper's central framework: the premise that the global economy must be rebuilt plank by plank — energy, labour, finance, production, geopolitics, governance — while remaining operational throughout (Section 3.0).</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North Star</w:t>
            </w:r>
          </w:p>
        </w:tc>
        <w:tc>
          <w:tcPr>
            <w:tcW w:type="dxa" w:w="730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NextGen Economics' term for $1Q by 2045: a strategic target intended to orient action, explicitly distinguished in this paper from a forecast or a guarantee (Executive Summary, Section 9.0).</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Data Famine</w:t>
            </w:r>
          </w:p>
        </w:tc>
        <w:tc>
          <w:tcPr>
            <w:tcW w:type="dxa" w:w="730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The point at which human cognitive and institutional capacity to process information falls behind the volume and complexity of AI-generated data and decisions (Section 5.4).</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Filter Drag</w:t>
            </w:r>
          </w:p>
        </w:tc>
        <w:tc>
          <w:tcPr>
            <w:tcW w:type="dxa" w:w="730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This paper's term for the growth-rate cost of managing (or failing to manage) one of the Six Filters poorly, expressed in the same percentage-point units as the growth engines in Section 2.3 (Section 5.7).</w:t>
            </w:r>
          </w:p>
        </w:tc>
      </w:tr>
    </w:tbl>
    <w:p>
      <w:r>
        <w:br w:type="page"/>
      </w:r>
    </w:p>
    <w:p>
      <w:pPr>
        <w:pStyle w:val="Heading1"/>
        <w:spacing w:after="160" w:before="480"/>
      </w:pPr>
      <w:r>
        <w:rPr>
          <w:rFonts w:ascii="Arial" w:cs="Arial" w:eastAsia="Arial" w:hAnsi="Arial"/>
          <w:b/>
          <w:bCs/>
          <w:color w:val="0A2540"/>
          <w:sz w:val="36"/>
          <w:szCs w:val="36"/>
        </w:rPr>
        <w:t xml:space="preserve">Appendix C · Stakeholder Map</w:t>
      </w:r>
    </w:p>
    <w:p>
      <w:pPr>
        <w:spacing w:after="200" w:line="320"/>
      </w:pPr>
      <w:r>
        <w:rPr>
          <w:rFonts w:ascii="Arial" w:cs="Arial" w:eastAsia="Arial" w:hAnsi="Arial"/>
          <w:color w:val="1A1A1A"/>
          <w:sz w:val="22"/>
          <w:szCs w:val="22"/>
        </w:rPr>
        <w:t xml:space="preserve">The Theseus Trajectory has no single owner. It requires action from distinct groups with different incentives, time horizons, and capacities — several of which are in tension with each other. This map is deliberately brief: its purpose is to make those tensions visible, not to resolve them.</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591"/>
        <w:gridCol w:w="2246"/>
        <w:gridCol w:w="2246"/>
        <w:gridCol w:w="3276"/>
      </w:tblGrid>
      <w:tr>
        <w:trPr>
          <w:tblHeader/>
        </w:trPr>
        <w:tc>
          <w:tcPr>
            <w:tcW w:type="dxa" w:w="159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Stakeholder Group</w:t>
            </w:r>
          </w:p>
        </w:tc>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Primary Interest</w:t>
            </w:r>
          </w:p>
        </w:tc>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Tension / Constraint</w:t>
            </w:r>
          </w:p>
        </w:tc>
        <w:tc>
          <w:tcPr>
            <w:tcW w:type="dxa" w:w="327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Why They'd Actually Engage</w:t>
            </w:r>
          </w:p>
        </w:tc>
      </w:tr>
      <w:tr>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Governments &amp; Central Banks</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Fiscal sustainability, monetary stability, political durability of the transition.</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Electoral cycles are far shorter than the 15-year Theseus timeline (Section 3.3).</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Early movers shape the rules (Section 5.2) rather than inherit them — a seat at the Planetary Resource Authority table (Appendix D.3) is more valuable before allocation than after.</w:t>
            </w:r>
          </w:p>
        </w:tc>
      </w:tr>
      <w:tr>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Sovereign Wealth Funds &amp; Institutional Investors</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Long-horizon capital deployment into fusion, AI, bio-economy, and space/ocean assets (Section 4.1).</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Fiduciary duty to current beneficiaries constrains appetite for multi-decade, high-uncertainty bets.</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This is precisely the mandate SWFs already exist to fill — unlike pension funds or insurers, most have both the horizon and the risk tolerance for Section 4.1's asset classes.</w:t>
            </w:r>
          </w:p>
        </w:tc>
      </w:tr>
      <w:tr>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Technology &amp; Energy Industry</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Commercialising fusion, AI, and robotics at scale; capturing platform value (Section 3.2).</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Commercial incentives favour speed over the precautionary sequencing recommended in Section 5.6.</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First-mover advantage in a platform race (Section 3.2's “Windows moment” framing) plus reduced regulatory uncertainty from engaging with nested governance (Section 5.2) rather than being regulated by it later.</w:t>
            </w:r>
          </w:p>
        </w:tc>
      </w:tr>
      <w:tr>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Academia &amp; Research Institutions</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Advancing the underlying science (fusion, AI safety, synthetic biology) and providing independent review.</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Chronically under-resourced relative to the capital flowing to industry.</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Global Education Trust (Section 5.4) and the independent-review role in Filter 6 (Section 5.6) are funding and mandate channels that do not currently exist at this scale.</w:t>
            </w:r>
          </w:p>
        </w:tc>
      </w:tr>
      <w:tr>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Civil Society &amp; Labour</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Protection from displacement; a credible stake in the new economy (Filter 5, Section 5.5).</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Least able to absorb the transition's downside risk; most exposed to Filter 1 (Section 5.1) if Blessings Equity is delayed.</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Blessings Equity (Section 5.1) is the direct, tangible stake on offer — engagement here is less about abstract buy-in and more about monitoring whether the dividend mechanism is actually implemented as designed.</w:t>
            </w:r>
          </w:p>
        </w:tc>
      </w:tr>
      <w:tr>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Multilateral Bodies (UN, IMF, World Bank, IAEA)</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Coordinating cross-border governance for fusion, AI, and resource extraction (Filter 2, Section 5.2).</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Structurally built for the slow, unipolar world described in Section 1.2.4.</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Relevance risk: the alternative to engaging with nested governance (Section 5.2) is being bypassed by regional blocs entirely, which is the Fragmented Transition scenario (Section 7.1) already priced in as the most likely outcome.</w:t>
            </w:r>
          </w:p>
        </w:tc>
      </w:tr>
      <w:tr>
        <w:tc>
          <w:tcPr>
            <w:tcW w:type="dxa" w:w="159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China</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Resource security, technological self-sufficiency, and a governance seat commensurate with its economic weight.</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Excluded or marginal roles in Western-led multilateral bodies reduce its incentive to support them.</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China already touches most of the resource categories this paper's Trust depends on (rare earths, seabed technology, fusion research); a Trust structure designed with China as a founding rather than a marginal member changes its incentive from working around the rules to helping write them (Appendix D.1's board composition already reflects this by weighting extraction-volume, not incumbency).</w:t>
            </w:r>
          </w:p>
        </w:tc>
      </w:tr>
      <w:tr>
        <w:tc>
          <w:tcPr>
            <w:tcW w:type="dxa" w:w="159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Gulf States</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Economic diversification beyond hydrocarbons; continuation of an existing sovereign-wealth-fund model.</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Current revenue base (oil) is precisely what the Great Repricing (Section 5.3) devalues.</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Already institutionally ready — PIF, ADIA, and QIA are exactly the kind of long-horizon vehicle the Global Resource Trust (Appendix D.1) requires, and Vision 2030-style diversification programmes are a natural fit for fusion and space/ocean asset classes (Section 4.1).</w:t>
            </w:r>
          </w:p>
        </w:tc>
      </w:tr>
    </w:tbl>
    <w:p>
      <w:pPr>
        <w:pStyle w:val="Heading1"/>
        <w:spacing w:after="160" w:before="480"/>
      </w:pPr>
      <w:r>
        <w:rPr>
          <w:rFonts w:ascii="Arial" w:cs="Arial" w:eastAsia="Arial" w:hAnsi="Arial"/>
          <w:b/>
          <w:bCs/>
          <w:color w:val="0A2540"/>
          <w:sz w:val="36"/>
          <w:szCs w:val="36"/>
        </w:rPr>
        <w:t xml:space="preserve">Appendix D · Implementation Sketches</w:t>
      </w:r>
    </w:p>
    <w:p>
      <w:pPr>
        <w:spacing w:after="200" w:line="320"/>
      </w:pPr>
      <w:r>
        <w:rPr>
          <w:rFonts w:ascii="Arial" w:cs="Arial" w:eastAsia="Arial" w:hAnsi="Arial"/>
          <w:color w:val="1A1A1A"/>
          <w:sz w:val="22"/>
          <w:szCs w:val="22"/>
        </w:rPr>
        <w:t xml:space="preserve">Four proposals in this paper — the Global Resource Trust, Blessings Equity, the Planetary Resource Authority, and AI-Augmented Governance — are named and motivated in the body of the paper but not operationalised there. External review correctly identified this as the paper's weakest point: a compelling concept is not the same as an actionable one. This appendix answers the same five questions for each proposal: who funds it, who governs it, what legal authority it has, how disputes are resolved, and how incentives are aligned. Where the honest answer is a limitation rather than a solution, it is stated as one — these sketches are meant to withstand scrutiny, not deflect it.</w:t>
      </w:r>
    </w:p>
    <w:p>
      <w:pPr>
        <w:spacing w:after="160"/>
      </w:pPr>
      <w:r>
        <w:t xml:space="preserve"/>
      </w:r>
    </w:p>
    <w:p>
      <w:pPr>
        <w:pStyle w:val="Heading2"/>
        <w:spacing w:after="120" w:before="320"/>
      </w:pPr>
      <w:r>
        <w:rPr>
          <w:rFonts w:ascii="Arial" w:cs="Arial" w:eastAsia="Arial" w:hAnsi="Arial"/>
          <w:b/>
          <w:bCs/>
          <w:color w:val="0A2540"/>
          <w:sz w:val="26"/>
          <w:szCs w:val="26"/>
        </w:rPr>
        <w:t xml:space="preserve">D.1 Global Resource Trust</w:t>
      </w:r>
    </w:p>
    <w:p>
      <w:pPr>
        <w:spacing w:after="200" w:line="320"/>
      </w:pPr>
      <w:r>
        <w:rPr>
          <w:rFonts w:ascii="Arial" w:cs="Arial" w:eastAsia="Arial" w:hAnsi="Arial"/>
          <w:color w:val="1A1A1A"/>
          <w:sz w:val="22"/>
          <w:szCs w:val="22"/>
        </w:rPr>
        <w:t xml:space="preserve">Introduced in Section 5.1 as the funding vehicle for Blessings Equity, capitalised by 1% of fusion, asteroid, and seabed revenues.</w:t>
      </w:r>
    </w:p>
    <w:p>
      <w:pPr>
        <w:spacing w:after="6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7114"/>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Question</w:t>
            </w:r>
          </w:p>
        </w:tc>
        <w:tc>
          <w:tcPr>
            <w:tcW w:type="dxa" w:w="711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Implementation Detail</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Who funds it?</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 mandatory 1% levy on gross revenue at first sale/extraction for three defined categories: seabed nodule mining, asteroid-derived materials, and commercial fusion energy sales. Collected by the licensing or flag jurisdiction and remitted to the Trust — the same collection point already used for offshore royalty regimes.</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Who governs it?</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 rotating board seated by the jurisdictions with the largest share of extraction activity in a given year (re-weighted annually by volume), plus two permanent seats reserved for a coalition of resource-poor nations, to prevent extractor capture of the body that taxes extraction.</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What legal authority does it have?</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None over extraction itself. It is a treaty-based multilateral trust — structurally closer to the Green Climate Fund or the Common Fund for Commodities than to a regulator. It has authority only over the collection and distribution of its own levy; the underlying 1% obligation is enforced through signatory states' domestic law, the same architecture as OECD tax treaties.</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How are disputes resolved?</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Contested levy calculations or distribution disputes go to a standing arbitration panel under UNCITRAL rules — existing infrastructure already used for sovereign wealth and investment-treaty disputes, rather than a new mechanism built from scratch.</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How are incentives aligned?</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Governance weight is tied to compliant, audited, on-time payment — not to extraction volume alone. A jurisdiction that under-reports or delays loses governance influence before it loses revenue, which aligns enforcement with continued participation rather than punishment after the fact.</w:t>
            </w:r>
          </w:p>
        </w:tc>
      </w:tr>
    </w:tbl>
    <w:p>
      <w:pPr>
        <w:spacing w:after="200"/>
      </w:pPr>
      <w:r>
        <w:t xml:space="preserve"/>
      </w:r>
    </w:p>
    <w:p>
      <w:pPr>
        <w:pStyle w:val="Heading2"/>
        <w:spacing w:after="120" w:before="320"/>
      </w:pPr>
      <w:r>
        <w:rPr>
          <w:rFonts w:ascii="Arial" w:cs="Arial" w:eastAsia="Arial" w:hAnsi="Arial"/>
          <w:b/>
          <w:bCs/>
          <w:color w:val="0A2540"/>
          <w:sz w:val="26"/>
          <w:szCs w:val="26"/>
        </w:rPr>
        <w:t xml:space="preserve">D.2 Blessings Equity</w:t>
      </w:r>
    </w:p>
    <w:p>
      <w:pPr>
        <w:spacing w:after="200" w:line="320"/>
      </w:pPr>
      <w:r>
        <w:rPr>
          <w:rFonts w:ascii="Arial" w:cs="Arial" w:eastAsia="Arial" w:hAnsi="Arial"/>
          <w:color w:val="1A1A1A"/>
          <w:sz w:val="22"/>
          <w:szCs w:val="22"/>
        </w:rPr>
        <w:t xml:space="preserve">Introduced in Section 5.1 as the universal dividend mechanism. Blessings Equity is a disbursement layer, not a second funding source — it draws entirely on the Global Resource Trust above.</w:t>
      </w:r>
    </w:p>
    <w:p>
      <w:pPr>
        <w:spacing w:after="6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7114"/>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Question</w:t>
            </w:r>
          </w:p>
        </w:tc>
        <w:tc>
          <w:tcPr>
            <w:tcW w:type="dxa" w:w="711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Implementation Detail</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Who funds it?</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Nothing independently. It is the payout mechanism for the Global Resource Trust's net proceeds after operating costs; there is no separate Blessings Equity levy.</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Who governs it?</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disbursement formula (a per-capita quarterly dividend, modelled on the Alaska Permanent Fund) is set by the Trust board and reviewed by an independent actuarial panel every three years, to keep the payout rate within sustainable Trust yield rather than drawing down principal.</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What legal authority does it have?</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None to pay individuals directly — no existing treaty body has that standing, and this paper does not propose inventing one. Disbursement is administered nation-by-nation through each country's existing social-transfer infrastructure (tax authority, social security system, or mobile-money rails where those are more developed); the Trust transfers a national allocation, not individual payments.</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How are disputes resolved?</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Individual entitlement disputes (fraud, eligibility) are handled entirely at the national level under each country's existing social-transfer law. The Trust's responsibility ends at the national allocation — this keeps dispute volume from overwhelming a nascent international body, at the cost of uneven enforcement quality across countries.</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How are incentives aligned?</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Because national governments administer disbursement, they have a direct incentive to maintain accurate population registries — a genuine secondary benefit for civil registration and tax-base quality in countries where that infrastructure is currently weak.</w:t>
            </w:r>
          </w:p>
        </w:tc>
      </w:tr>
    </w:tbl>
    <w:p>
      <w:r>
        <w:br w:type="page"/>
      </w:r>
    </w:p>
    <w:p>
      <w:pPr>
        <w:pStyle w:val="Heading2"/>
        <w:spacing w:after="120" w:before="320"/>
      </w:pPr>
      <w:r>
        <w:rPr>
          <w:rFonts w:ascii="Arial" w:cs="Arial" w:eastAsia="Arial" w:hAnsi="Arial"/>
          <w:b/>
          <w:bCs/>
          <w:color w:val="0A2540"/>
          <w:sz w:val="26"/>
          <w:szCs w:val="26"/>
        </w:rPr>
        <w:t xml:space="preserve">D.3 Planetary Resource Authority</w:t>
      </w:r>
    </w:p>
    <w:p>
      <w:pPr>
        <w:spacing w:after="200" w:line="320"/>
      </w:pPr>
      <w:r>
        <w:rPr>
          <w:rFonts w:ascii="Arial" w:cs="Arial" w:eastAsia="Arial" w:hAnsi="Arial"/>
          <w:color w:val="1A1A1A"/>
          <w:sz w:val="22"/>
          <w:szCs w:val="22"/>
        </w:rPr>
        <w:t xml:space="preserve">Introduced in Section 5.2 as the planetary layer of nested governance, covering asteroid resource treaties, seabed mining authority, and fusion non-proliferation frameworks.</w:t>
      </w:r>
    </w:p>
    <w:p>
      <w:pPr>
        <w:spacing w:after="6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7114"/>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Question</w:t>
            </w:r>
          </w:p>
        </w:tc>
        <w:tc>
          <w:tcPr>
            <w:tcW w:type="dxa" w:w="711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Implementation Detail</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Who funds it?</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 small fixed administrative budget — proposed at 0.05% of Global Resource Trust proceeds, kept separate from the Trust's own disbursement — sufficient for a technical secretariat, not an enforcement agency.</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Who governs it?</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Not a world government. The closest working precedent is the International Seabed Authority, which already holds jurisdiction over seabed minerals beyond national jurisdiction; this proposal extends that model to asteroid resources and fusion fuel sourcing. Membership is open to any UN member state; voting is weighted by a defined mix of technical and financial contribution, to avoid both plutocratic capture and one-country-one-vote paralysis on technical questions.</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What legal authority does it have?</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Only what treaty ratification confers — realistically a 10–15 year ratification project, and this paper does not claim it could be operative sooner. Until treaty coverage is complete, the Authority functions as a standard-setting and dispute-referral body, not an enforcement body. This is a real limitation, named as one in Section 5.2's Governance Realism discussion.</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How are disputes resolved?</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Technical disputes (resource allocation, overlapping claims) go to a specialist tribunal modelled on the International Tribunal for the Law of the Sea. Disputes that exceed the tribunal's mandate escalate to the UN Security Council — which carries the Council's own veto-power constraint. That constraint is acknowledged here, not solved.</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How are incentives aligned?</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States that ratify early receive priority claim registration for a defined grace period — a first-mover incentive with direct precedent in existing mineral-rights regimes and ITU orbital-slot allocation.</w:t>
            </w:r>
          </w:p>
        </w:tc>
      </w:tr>
    </w:tbl>
    <w:p>
      <w:r>
        <w:br w:type="page"/>
      </w:r>
    </w:p>
    <w:p>
      <w:pPr>
        <w:pStyle w:val="Heading2"/>
        <w:spacing w:after="120" w:before="320"/>
      </w:pPr>
      <w:r>
        <w:rPr>
          <w:rFonts w:ascii="Arial" w:cs="Arial" w:eastAsia="Arial" w:hAnsi="Arial"/>
          <w:b/>
          <w:bCs/>
          <w:color w:val="0A2540"/>
          <w:sz w:val="26"/>
          <w:szCs w:val="26"/>
        </w:rPr>
        <w:t xml:space="preserve">D.4 AI-Augmented Governance</w:t>
      </w:r>
    </w:p>
    <w:p>
      <w:pPr>
        <w:spacing w:after="200" w:line="320"/>
      </w:pPr>
      <w:r>
        <w:rPr>
          <w:rFonts w:ascii="Arial" w:cs="Arial" w:eastAsia="Arial" w:hAnsi="Arial"/>
          <w:color w:val="1A1A1A"/>
          <w:sz w:val="22"/>
          <w:szCs w:val="22"/>
        </w:rPr>
        <w:t xml:space="preserve">Introduced in Section 5.2 as the nested local-to-planetary governance model for AI regulation.</w:t>
      </w:r>
    </w:p>
    <w:p>
      <w:pPr>
        <w:spacing w:after="6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7114"/>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Question</w:t>
            </w:r>
          </w:p>
        </w:tc>
        <w:tc>
          <w:tcPr>
            <w:tcW w:type="dxa" w:w="711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Implementation Detail</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Who funds it?</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No new centralised funding. Each layer — local, national, regional, planetary — is funded by its own existing governance budget; the proposal requires new coordination mechanisms and shared reporting standards, not a new treasury.</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Who governs it?</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 structure is coordinative, not hierarchical: it has no authority to override national AI regulation. Its actual product is a shared technical-standards library and incident-reporting protocol, modelled on the IAEA's nuclear-safety incident reporting, which national regulators may voluntarily adopt or reference in their own binding law.</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What legal authority does it have?</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None above the national level in the near term, by design. Section 5.2 already concedes that global coordination is unlikely. The realistic function is a Basel-Committee-style soft-law body: it does not bind, but its standards can become de facto benchmarks if bilateral and regional trade agreements start referencing them.</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How are disputes resolved?</w:t>
            </w:r>
          </w:p>
        </w:tc>
        <w:tc>
          <w:tcPr>
            <w:tcW w:type="dxa" w:w="711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There is no binding arbitration mechanism, and this paper does not claim one would work. Disagreement between blocs — including the incompatible US–China AI standards risk named in Section 5.2 — is resolved, or not, through ordinary regional-bloc negotiation. This framework can narrow that gap; it cannot adjudicate it.</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How are incentives aligned?</w:t>
            </w:r>
          </w:p>
        </w:tc>
        <w:tc>
          <w:tcPr>
            <w:tcW w:type="dxa" w:w="711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Adoption is voluntary but framed as a compliance shortcut: a jurisdiction that adopts the shared standard reduces its own regulatory drafting cost and gains interoperability with every other market that also adopts it — a real economic incentive that does not depend on enforcement power to function.</w:t>
            </w:r>
          </w:p>
        </w:tc>
      </w:tr>
    </w:tbl>
    <w:p>
      <w:r>
        <w:br w:type="page"/>
      </w:r>
    </w:p>
    <w:p>
      <w:pPr>
        <w:pStyle w:val="Heading1"/>
        <w:spacing w:after="160" w:before="480"/>
      </w:pPr>
      <w:r>
        <w:rPr>
          <w:rFonts w:ascii="Arial" w:cs="Arial" w:eastAsia="Arial" w:hAnsi="Arial"/>
          <w:b/>
          <w:bCs/>
          <w:color w:val="0A2540"/>
          <w:sz w:val="36"/>
          <w:szCs w:val="36"/>
        </w:rPr>
        <w:t xml:space="preserve">References</w:t>
      </w:r>
    </w:p>
    <w:p>
      <w:pPr>
        <w:spacing w:after="120" w:line="280"/>
        <w:ind w:left="360" w:hanging="360"/>
      </w:pPr>
      <w:r>
        <w:rPr>
          <w:rFonts w:ascii="Arial" w:cs="Arial" w:eastAsia="Arial" w:hAnsi="Arial"/>
          <w:b/>
          <w:bCs/>
          <w:color w:val="B8860B"/>
          <w:sz w:val="19"/>
          <w:szCs w:val="19"/>
        </w:rPr>
        <w:t xml:space="preserve">1.  </w:t>
      </w:r>
      <w:r>
        <w:rPr>
          <w:rFonts w:ascii="Arial" w:cs="Arial" w:eastAsia="Arial" w:hAnsi="Arial"/>
          <w:color w:val="1A1A1A"/>
          <w:sz w:val="19"/>
          <w:szCs w:val="19"/>
        </w:rPr>
        <w:t xml:space="preserve">International Monetary Fund. (2026). World Economic Outlook. Washington, DC: IMF.</w:t>
      </w:r>
    </w:p>
    <w:p>
      <w:pPr>
        <w:spacing w:after="120" w:line="280"/>
        <w:ind w:left="360" w:hanging="360"/>
      </w:pPr>
      <w:r>
        <w:rPr>
          <w:rFonts w:ascii="Arial" w:cs="Arial" w:eastAsia="Arial" w:hAnsi="Arial"/>
          <w:b/>
          <w:bCs/>
          <w:color w:val="B8860B"/>
          <w:sz w:val="19"/>
          <w:szCs w:val="19"/>
        </w:rPr>
        <w:t xml:space="preserve">2.  </w:t>
      </w:r>
      <w:r>
        <w:rPr>
          <w:rFonts w:ascii="Arial" w:cs="Arial" w:eastAsia="Arial" w:hAnsi="Arial"/>
          <w:color w:val="1A1A1A"/>
          <w:sz w:val="19"/>
          <w:szCs w:val="19"/>
        </w:rPr>
        <w:t xml:space="preserve">Institute of International Finance. (2026). Global Debt Monitor. Washington, DC: IIF.</w:t>
      </w:r>
    </w:p>
    <w:p>
      <w:pPr>
        <w:spacing w:after="120" w:line="280"/>
        <w:ind w:left="360" w:hanging="360"/>
      </w:pPr>
      <w:r>
        <w:rPr>
          <w:rFonts w:ascii="Arial" w:cs="Arial" w:eastAsia="Arial" w:hAnsi="Arial"/>
          <w:b/>
          <w:bCs/>
          <w:color w:val="B8860B"/>
          <w:sz w:val="19"/>
          <w:szCs w:val="19"/>
        </w:rPr>
        <w:t xml:space="preserve">3.  </w:t>
      </w:r>
      <w:r>
        <w:rPr>
          <w:rFonts w:ascii="Arial" w:cs="Arial" w:eastAsia="Arial" w:hAnsi="Arial"/>
          <w:color w:val="1A1A1A"/>
          <w:sz w:val="19"/>
          <w:szCs w:val="19"/>
        </w:rPr>
        <w:t xml:space="preserve">McKinsey Global Institute. (2025). The Rise of Paper Wealth. New York: McKinsey &amp; Company.</w:t>
      </w:r>
    </w:p>
    <w:p>
      <w:pPr>
        <w:spacing w:after="120" w:line="280"/>
        <w:ind w:left="360" w:hanging="360"/>
      </w:pPr>
      <w:r>
        <w:rPr>
          <w:rFonts w:ascii="Arial" w:cs="Arial" w:eastAsia="Arial" w:hAnsi="Arial"/>
          <w:b/>
          <w:bCs/>
          <w:color w:val="B8860B"/>
          <w:sz w:val="19"/>
          <w:szCs w:val="19"/>
        </w:rPr>
        <w:t xml:space="preserve">4.  </w:t>
      </w:r>
      <w:r>
        <w:rPr>
          <w:rFonts w:ascii="Arial" w:cs="Arial" w:eastAsia="Arial" w:hAnsi="Arial"/>
          <w:color w:val="1A1A1A"/>
          <w:sz w:val="19"/>
          <w:szCs w:val="19"/>
        </w:rPr>
        <w:t xml:space="preserve">McKinsey Global Institute. (2023). The Economic Potential of Generative AI. New York: McKinsey &amp; Company.</w:t>
      </w:r>
    </w:p>
    <w:p>
      <w:pPr>
        <w:spacing w:after="120" w:line="280"/>
        <w:ind w:left="360" w:hanging="360"/>
      </w:pPr>
      <w:r>
        <w:rPr>
          <w:rFonts w:ascii="Arial" w:cs="Arial" w:eastAsia="Arial" w:hAnsi="Arial"/>
          <w:b/>
          <w:bCs/>
          <w:color w:val="B8860B"/>
          <w:sz w:val="19"/>
          <w:szCs w:val="19"/>
        </w:rPr>
        <w:t xml:space="preserve">5.  </w:t>
      </w:r>
      <w:r>
        <w:rPr>
          <w:rFonts w:ascii="Arial" w:cs="Arial" w:eastAsia="Arial" w:hAnsi="Arial"/>
          <w:color w:val="1A1A1A"/>
          <w:sz w:val="19"/>
          <w:szCs w:val="19"/>
        </w:rPr>
        <w:t xml:space="preserve">PwC. (2023). Global Artificial Intelligence Study. London: PwC.</w:t>
      </w:r>
    </w:p>
    <w:p>
      <w:pPr>
        <w:spacing w:after="120" w:line="280"/>
        <w:ind w:left="360" w:hanging="360"/>
      </w:pPr>
      <w:r>
        <w:rPr>
          <w:rFonts w:ascii="Arial" w:cs="Arial" w:eastAsia="Arial" w:hAnsi="Arial"/>
          <w:b/>
          <w:bCs/>
          <w:color w:val="B8860B"/>
          <w:sz w:val="19"/>
          <w:szCs w:val="19"/>
        </w:rPr>
        <w:t xml:space="preserve">6.  </w:t>
      </w:r>
      <w:r>
        <w:rPr>
          <w:rFonts w:ascii="Arial" w:cs="Arial" w:eastAsia="Arial" w:hAnsi="Arial"/>
          <w:color w:val="1A1A1A"/>
          <w:sz w:val="19"/>
          <w:szCs w:val="19"/>
        </w:rPr>
        <w:t xml:space="preserve">International Energy Agency. (2025). World Energy Investment. Paris: IEA.</w:t>
      </w:r>
    </w:p>
    <w:p>
      <w:pPr>
        <w:spacing w:after="120" w:line="280"/>
        <w:ind w:left="360" w:hanging="360"/>
      </w:pPr>
      <w:r>
        <w:rPr>
          <w:rFonts w:ascii="Arial" w:cs="Arial" w:eastAsia="Arial" w:hAnsi="Arial"/>
          <w:b/>
          <w:bCs/>
          <w:color w:val="B8860B"/>
          <w:sz w:val="19"/>
          <w:szCs w:val="19"/>
        </w:rPr>
        <w:t xml:space="preserve">7.  </w:t>
      </w:r>
      <w:r>
        <w:rPr>
          <w:rFonts w:ascii="Arial" w:cs="Arial" w:eastAsia="Arial" w:hAnsi="Arial"/>
          <w:color w:val="1A1A1A"/>
          <w:sz w:val="19"/>
          <w:szCs w:val="19"/>
        </w:rPr>
        <w:t xml:space="preserve">IRENA. (2025). World Energy Transitions Outlook. Abu Dhabi: IRENA.</w:t>
      </w:r>
    </w:p>
    <w:p>
      <w:pPr>
        <w:spacing w:after="120" w:line="280"/>
        <w:ind w:left="360" w:hanging="360"/>
      </w:pPr>
      <w:r>
        <w:rPr>
          <w:rFonts w:ascii="Arial" w:cs="Arial" w:eastAsia="Arial" w:hAnsi="Arial"/>
          <w:b/>
          <w:bCs/>
          <w:color w:val="B8860B"/>
          <w:sz w:val="19"/>
          <w:szCs w:val="19"/>
        </w:rPr>
        <w:t xml:space="preserve">8.  </w:t>
      </w:r>
      <w:r>
        <w:rPr>
          <w:rFonts w:ascii="Arial" w:cs="Arial" w:eastAsia="Arial" w:hAnsi="Arial"/>
          <w:color w:val="1A1A1A"/>
          <w:sz w:val="19"/>
          <w:szCs w:val="19"/>
        </w:rPr>
        <w:t xml:space="preserve">World Bank. (2026). Global Economic Prospects. Washington, DC: World Bank Group.</w:t>
      </w:r>
    </w:p>
    <w:p>
      <w:pPr>
        <w:spacing w:after="120" w:line="280"/>
        <w:ind w:left="360" w:hanging="360"/>
      </w:pPr>
      <w:r>
        <w:rPr>
          <w:rFonts w:ascii="Arial" w:cs="Arial" w:eastAsia="Arial" w:hAnsi="Arial"/>
          <w:b/>
          <w:bCs/>
          <w:color w:val="B8860B"/>
          <w:sz w:val="19"/>
          <w:szCs w:val="19"/>
        </w:rPr>
        <w:t xml:space="preserve">9.  </w:t>
      </w:r>
      <w:r>
        <w:rPr>
          <w:rFonts w:ascii="Arial" w:cs="Arial" w:eastAsia="Arial" w:hAnsi="Arial"/>
          <w:color w:val="1A1A1A"/>
          <w:sz w:val="19"/>
          <w:szCs w:val="19"/>
        </w:rPr>
        <w:t xml:space="preserve">International Monetary Fund. (2026). Regional Economic Outlook: Asia-Pacific. Washington, DC: IMF.</w:t>
      </w:r>
    </w:p>
    <w:p>
      <w:pPr>
        <w:spacing w:after="120" w:line="280"/>
        <w:ind w:left="360" w:hanging="360"/>
      </w:pPr>
      <w:r>
        <w:rPr>
          <w:rFonts w:ascii="Arial" w:cs="Arial" w:eastAsia="Arial" w:hAnsi="Arial"/>
          <w:b/>
          <w:bCs/>
          <w:color w:val="B8860B"/>
          <w:sz w:val="19"/>
          <w:szCs w:val="19"/>
        </w:rPr>
        <w:t xml:space="preserve">10.  </w:t>
      </w:r>
      <w:r>
        <w:rPr>
          <w:rFonts w:ascii="Arial" w:cs="Arial" w:eastAsia="Arial" w:hAnsi="Arial"/>
          <w:color w:val="1A1A1A"/>
          <w:sz w:val="19"/>
          <w:szCs w:val="19"/>
        </w:rPr>
        <w:t xml:space="preserve">McKinsey Global Institute. (2024). The Bio Revolution. New York: McKinsey &amp; Company.</w:t>
      </w:r>
    </w:p>
    <w:p>
      <w:pPr>
        <w:spacing w:after="120" w:line="280"/>
        <w:ind w:left="360" w:hanging="360"/>
      </w:pPr>
      <w:r>
        <w:rPr>
          <w:rFonts w:ascii="Arial" w:cs="Arial" w:eastAsia="Arial" w:hAnsi="Arial"/>
          <w:b/>
          <w:bCs/>
          <w:color w:val="B8860B"/>
          <w:sz w:val="19"/>
          <w:szCs w:val="19"/>
        </w:rPr>
        <w:t xml:space="preserve">11.  </w:t>
      </w:r>
      <w:r>
        <w:rPr>
          <w:rFonts w:ascii="Arial" w:cs="Arial" w:eastAsia="Arial" w:hAnsi="Arial"/>
          <w:color w:val="1A1A1A"/>
          <w:sz w:val="19"/>
          <w:szCs w:val="19"/>
        </w:rPr>
        <w:t xml:space="preserve">Nature Biotechnology. (2025). “Synthetic Biology Market Outlook.” Nature Biotechnology, 43(2), 145–158.</w:t>
      </w:r>
    </w:p>
    <w:p>
      <w:pPr>
        <w:spacing w:after="120" w:line="280"/>
        <w:ind w:left="360" w:hanging="360"/>
      </w:pPr>
      <w:r>
        <w:rPr>
          <w:rFonts w:ascii="Arial" w:cs="Arial" w:eastAsia="Arial" w:hAnsi="Arial"/>
          <w:b/>
          <w:bCs/>
          <w:color w:val="B8860B"/>
          <w:sz w:val="19"/>
          <w:szCs w:val="19"/>
        </w:rPr>
        <w:t xml:space="preserve">12.  </w:t>
      </w:r>
      <w:r>
        <w:rPr>
          <w:rFonts w:ascii="Arial" w:cs="Arial" w:eastAsia="Arial" w:hAnsi="Arial"/>
          <w:color w:val="1A1A1A"/>
          <w:sz w:val="19"/>
          <w:szCs w:val="19"/>
        </w:rPr>
        <w:t xml:space="preserve">International Atomic Energy Agency. (2025). Fusion Energy: Status and Roadmap. Vienna: IAEA.</w:t>
      </w:r>
    </w:p>
    <w:p>
      <w:pPr>
        <w:spacing w:after="120" w:line="280"/>
        <w:ind w:left="360" w:hanging="360"/>
      </w:pPr>
      <w:r>
        <w:rPr>
          <w:rFonts w:ascii="Arial" w:cs="Arial" w:eastAsia="Arial" w:hAnsi="Arial"/>
          <w:b/>
          <w:bCs/>
          <w:color w:val="B8860B"/>
          <w:sz w:val="19"/>
          <w:szCs w:val="19"/>
        </w:rPr>
        <w:t xml:space="preserve">13.  </w:t>
      </w:r>
      <w:r>
        <w:rPr>
          <w:rFonts w:ascii="Arial" w:cs="Arial" w:eastAsia="Arial" w:hAnsi="Arial"/>
          <w:color w:val="1A1A1A"/>
          <w:sz w:val="19"/>
          <w:szCs w:val="19"/>
        </w:rPr>
        <w:t xml:space="preserve">Commonwealth Fusion Systems. (2026). SPARC Progress Report. Cambridge, MA: CFS.</w:t>
      </w:r>
    </w:p>
    <w:p>
      <w:pPr>
        <w:spacing w:after="120" w:line="280"/>
        <w:ind w:left="360" w:hanging="360"/>
      </w:pPr>
      <w:r>
        <w:rPr>
          <w:rFonts w:ascii="Arial" w:cs="Arial" w:eastAsia="Arial" w:hAnsi="Arial"/>
          <w:b/>
          <w:bCs/>
          <w:color w:val="B8860B"/>
          <w:sz w:val="19"/>
          <w:szCs w:val="19"/>
        </w:rPr>
        <w:t xml:space="preserve">14.  </w:t>
      </w:r>
      <w:r>
        <w:rPr>
          <w:rFonts w:ascii="Arial" w:cs="Arial" w:eastAsia="Arial" w:hAnsi="Arial"/>
          <w:color w:val="1A1A1A"/>
          <w:sz w:val="19"/>
          <w:szCs w:val="19"/>
        </w:rPr>
        <w:t xml:space="preserve">World Inequality Lab. (2025). World Inequality Report. Paris: WIL.</w:t>
      </w:r>
    </w:p>
    <w:p>
      <w:pPr>
        <w:spacing w:after="120" w:line="280"/>
        <w:ind w:left="360" w:hanging="360"/>
      </w:pPr>
      <w:r>
        <w:rPr>
          <w:rFonts w:ascii="Arial" w:cs="Arial" w:eastAsia="Arial" w:hAnsi="Arial"/>
          <w:b/>
          <w:bCs/>
          <w:color w:val="B8860B"/>
          <w:sz w:val="19"/>
          <w:szCs w:val="19"/>
        </w:rPr>
        <w:t xml:space="preserve">15.  </w:t>
      </w:r>
      <w:r>
        <w:rPr>
          <w:rFonts w:ascii="Arial" w:cs="Arial" w:eastAsia="Arial" w:hAnsi="Arial"/>
          <w:color w:val="1A1A1A"/>
          <w:sz w:val="19"/>
          <w:szCs w:val="19"/>
        </w:rPr>
        <w:t xml:space="preserve">Credit Suisse. (2025). Global Wealth Report. Zurich: Credit Suisse Research Institute.</w:t>
      </w:r>
    </w:p>
    <w:p>
      <w:pPr>
        <w:spacing w:after="120" w:line="280"/>
        <w:ind w:left="360" w:hanging="360"/>
      </w:pPr>
      <w:r>
        <w:rPr>
          <w:rFonts w:ascii="Arial" w:cs="Arial" w:eastAsia="Arial" w:hAnsi="Arial"/>
          <w:b/>
          <w:bCs/>
          <w:color w:val="B8860B"/>
          <w:sz w:val="19"/>
          <w:szCs w:val="19"/>
        </w:rPr>
        <w:t xml:space="preserve">16.  </w:t>
      </w:r>
      <w:r>
        <w:rPr>
          <w:rFonts w:ascii="Arial" w:cs="Arial" w:eastAsia="Arial" w:hAnsi="Arial"/>
          <w:color w:val="1A1A1A"/>
          <w:sz w:val="19"/>
          <w:szCs w:val="19"/>
        </w:rPr>
        <w:t xml:space="preserve">Bank for International Settlements. (2025). CBDCs: Progress and Roadmap. Basel: BIS.</w:t>
      </w:r>
    </w:p>
    <w:p>
      <w:pPr>
        <w:spacing w:after="120" w:line="280"/>
        <w:ind w:left="360" w:hanging="360"/>
      </w:pPr>
      <w:r>
        <w:rPr>
          <w:rFonts w:ascii="Arial" w:cs="Arial" w:eastAsia="Arial" w:hAnsi="Arial"/>
          <w:b/>
          <w:bCs/>
          <w:color w:val="B8860B"/>
          <w:sz w:val="19"/>
          <w:szCs w:val="19"/>
        </w:rPr>
        <w:t xml:space="preserve">17.  </w:t>
      </w:r>
      <w:r>
        <w:rPr>
          <w:rFonts w:ascii="Arial" w:cs="Arial" w:eastAsia="Arial" w:hAnsi="Arial"/>
          <w:color w:val="1A1A1A"/>
          <w:sz w:val="19"/>
          <w:szCs w:val="19"/>
        </w:rPr>
        <w:t xml:space="preserve">United Nations. (2025). World Population Prospects. New York: UN Department of Economic and Social Affairs.</w:t>
      </w:r>
    </w:p>
    <w:p>
      <w:pPr>
        <w:spacing w:after="120" w:line="280"/>
        <w:ind w:left="360" w:hanging="360"/>
      </w:pPr>
      <w:r>
        <w:rPr>
          <w:rFonts w:ascii="Arial" w:cs="Arial" w:eastAsia="Arial" w:hAnsi="Arial"/>
          <w:b/>
          <w:bCs/>
          <w:color w:val="B8860B"/>
          <w:sz w:val="19"/>
          <w:szCs w:val="19"/>
        </w:rPr>
        <w:t xml:space="preserve">18.  </w:t>
      </w:r>
      <w:r>
        <w:rPr>
          <w:rFonts w:ascii="Arial" w:cs="Arial" w:eastAsia="Arial" w:hAnsi="Arial"/>
          <w:color w:val="1A1A1A"/>
          <w:sz w:val="19"/>
          <w:szCs w:val="19"/>
        </w:rPr>
        <w:t xml:space="preserve">World Trade Organization. (2026). World Trade Report. Geneva: WTO.</w:t>
      </w:r>
    </w:p>
    <w:p>
      <w:pPr>
        <w:spacing w:after="120" w:line="280"/>
        <w:ind w:left="360" w:hanging="360"/>
      </w:pPr>
      <w:r>
        <w:rPr>
          <w:rFonts w:ascii="Arial" w:cs="Arial" w:eastAsia="Arial" w:hAnsi="Arial"/>
          <w:b/>
          <w:bCs/>
          <w:color w:val="B8860B"/>
          <w:sz w:val="19"/>
          <w:szCs w:val="19"/>
        </w:rPr>
        <w:t xml:space="preserve">19.  </w:t>
      </w:r>
      <w:r>
        <w:rPr>
          <w:rFonts w:ascii="Arial" w:cs="Arial" w:eastAsia="Arial" w:hAnsi="Arial"/>
          <w:color w:val="1A1A1A"/>
          <w:sz w:val="19"/>
          <w:szCs w:val="19"/>
        </w:rPr>
        <w:t xml:space="preserve">International Monetary Fund. (2026). Global Financial Stability Report. Washington, DC: IMF.</w:t>
      </w:r>
    </w:p>
    <w:p>
      <w:pPr>
        <w:spacing w:after="120" w:line="280"/>
        <w:ind w:left="360" w:hanging="360"/>
      </w:pPr>
      <w:r>
        <w:rPr>
          <w:rFonts w:ascii="Arial" w:cs="Arial" w:eastAsia="Arial" w:hAnsi="Arial"/>
          <w:b/>
          <w:bCs/>
          <w:color w:val="B8860B"/>
          <w:sz w:val="19"/>
          <w:szCs w:val="19"/>
        </w:rPr>
        <w:t xml:space="preserve">20.  </w:t>
      </w:r>
      <w:r>
        <w:rPr>
          <w:rFonts w:ascii="Arial" w:cs="Arial" w:eastAsia="Arial" w:hAnsi="Arial"/>
          <w:color w:val="1A1A1A"/>
          <w:sz w:val="19"/>
          <w:szCs w:val="19"/>
        </w:rPr>
        <w:t xml:space="preserve">Oxford Economics. (2025). The Long-Term Economic Impact of AI. Oxford: Oxford Economics.</w:t>
      </w:r>
    </w:p>
    <w:p>
      <w:pPr>
        <w:spacing w:after="120" w:line="280"/>
        <w:ind w:left="360" w:hanging="360"/>
      </w:pPr>
      <w:r>
        <w:rPr>
          <w:rFonts w:ascii="Arial" w:cs="Arial" w:eastAsia="Arial" w:hAnsi="Arial"/>
          <w:b/>
          <w:bCs/>
          <w:color w:val="B8860B"/>
          <w:sz w:val="19"/>
          <w:szCs w:val="19"/>
        </w:rPr>
        <w:t xml:space="preserve">21.  </w:t>
      </w:r>
      <w:r>
        <w:rPr>
          <w:rFonts w:ascii="Arial" w:cs="Arial" w:eastAsia="Arial" w:hAnsi="Arial"/>
          <w:color w:val="1A1A1A"/>
          <w:sz w:val="19"/>
          <w:szCs w:val="19"/>
        </w:rPr>
        <w:t xml:space="preserve">RethinkX. (2024). Rethinking Energy: The Fusion Revolution. London: RethinkX.</w:t>
      </w:r>
    </w:p>
    <w:p>
      <w:pPr>
        <w:spacing w:after="120" w:line="280"/>
        <w:ind w:left="360" w:hanging="360"/>
      </w:pPr>
      <w:r>
        <w:rPr>
          <w:rFonts w:ascii="Arial" w:cs="Arial" w:eastAsia="Arial" w:hAnsi="Arial"/>
          <w:b/>
          <w:bCs/>
          <w:color w:val="B8860B"/>
          <w:sz w:val="19"/>
          <w:szCs w:val="19"/>
        </w:rPr>
        <w:t xml:space="preserve">22.  </w:t>
      </w:r>
      <w:r>
        <w:rPr>
          <w:rFonts w:ascii="Arial" w:cs="Arial" w:eastAsia="Arial" w:hAnsi="Arial"/>
          <w:color w:val="1A1A1A"/>
          <w:sz w:val="19"/>
          <w:szCs w:val="19"/>
        </w:rPr>
        <w:t xml:space="preserve">World Economic Forum. (2025). The Future of Jobs Report. Geneva: WEF.</w:t>
      </w:r>
    </w:p>
    <w:p>
      <w:pPr>
        <w:spacing w:after="120" w:line="280"/>
        <w:ind w:left="360" w:hanging="360"/>
      </w:pPr>
      <w:r>
        <w:rPr>
          <w:rFonts w:ascii="Arial" w:cs="Arial" w:eastAsia="Arial" w:hAnsi="Arial"/>
          <w:b/>
          <w:bCs/>
          <w:color w:val="B8860B"/>
          <w:sz w:val="19"/>
          <w:szCs w:val="19"/>
        </w:rPr>
        <w:t xml:space="preserve">23.  </w:t>
      </w:r>
      <w:r>
        <w:rPr>
          <w:rFonts w:ascii="Arial" w:cs="Arial" w:eastAsia="Arial" w:hAnsi="Arial"/>
          <w:color w:val="1A1A1A"/>
          <w:sz w:val="19"/>
          <w:szCs w:val="19"/>
        </w:rPr>
        <w:t xml:space="preserve">Stockholm International Peace Research Institute. (2025). Global Military Expenditure Database. Stockholm: SIPRI.</w:t>
      </w:r>
    </w:p>
    <w:p>
      <w:pPr>
        <w:spacing w:after="120" w:line="280"/>
        <w:ind w:left="360" w:hanging="360"/>
      </w:pPr>
      <w:r>
        <w:rPr>
          <w:rFonts w:ascii="Arial" w:cs="Arial" w:eastAsia="Arial" w:hAnsi="Arial"/>
          <w:b/>
          <w:bCs/>
          <w:color w:val="B8860B"/>
          <w:sz w:val="19"/>
          <w:szCs w:val="19"/>
        </w:rPr>
        <w:t xml:space="preserve">24.  </w:t>
      </w:r>
      <w:r>
        <w:rPr>
          <w:rFonts w:ascii="Arial" w:cs="Arial" w:eastAsia="Arial" w:hAnsi="Arial"/>
          <w:color w:val="1A1A1A"/>
          <w:sz w:val="19"/>
          <w:szCs w:val="19"/>
        </w:rPr>
        <w:t xml:space="preserve">United Nations Conference on Trade and Development. (2025). World Investment Report. Geneva: UNCTAD.</w:t>
      </w:r>
    </w:p>
    <w:p>
      <w:pPr>
        <w:spacing w:after="120" w:line="280"/>
        <w:ind w:left="360" w:hanging="360"/>
      </w:pPr>
      <w:r>
        <w:rPr>
          <w:rFonts w:ascii="Arial" w:cs="Arial" w:eastAsia="Arial" w:hAnsi="Arial"/>
          <w:b/>
          <w:bCs/>
          <w:color w:val="B8860B"/>
          <w:sz w:val="19"/>
          <w:szCs w:val="19"/>
        </w:rPr>
        <w:t xml:space="preserve">25.  </w:t>
      </w:r>
      <w:r>
        <w:rPr>
          <w:rFonts w:ascii="Arial" w:cs="Arial" w:eastAsia="Arial" w:hAnsi="Arial"/>
          <w:color w:val="1A1A1A"/>
          <w:sz w:val="19"/>
          <w:szCs w:val="19"/>
        </w:rPr>
        <w:t xml:space="preserve">European Central Bank. (2025). The Digital Euro: Policy Options. Frankfurt: ECB.</w:t>
      </w:r>
    </w:p>
    <w:p>
      <w:pPr>
        <w:spacing w:after="300"/>
      </w:pPr>
      <w:r>
        <w:t xml:space="preserve"/>
      </w:r>
    </w:p>
    <w:p>
      <w:pPr>
        <w:pStyle w:val="Heading2"/>
        <w:spacing w:after="120" w:before="320"/>
      </w:pPr>
      <w:r>
        <w:rPr>
          <w:rFonts w:ascii="Arial" w:cs="Arial" w:eastAsia="Arial" w:hAnsi="Arial"/>
          <w:b/>
          <w:bCs/>
          <w:color w:val="0A2540"/>
          <w:sz w:val="26"/>
          <w:szCs w:val="26"/>
        </w:rPr>
        <w:t xml:space="preserve">Acknowledgements</w:t>
      </w:r>
    </w:p>
    <w:p>
      <w:pPr>
        <w:spacing w:after="200" w:line="320"/>
      </w:pPr>
      <w:r>
        <w:rPr>
          <w:rFonts w:ascii="Arial" w:cs="Arial" w:eastAsia="Arial" w:hAnsi="Arial"/>
          <w:color w:val="1A1A1A"/>
          <w:sz w:val="22"/>
          <w:szCs w:val="22"/>
        </w:rPr>
        <w:t xml:space="preserve">The Theseus Trajectory builds on decades of economic theory, technological foresight, and institutional analysis. The authors acknowledge the foundational work of central banks, international financial institutions, research institutes, and academic communities whose data and insights underpin this framework.</w:t>
      </w:r>
    </w:p>
    <w:p>
      <w:r>
        <w:br w:type="page"/>
      </w:r>
    </w:p>
    <w:p>
      <w:pPr>
        <w:spacing w:after="1200"/>
      </w:pPr>
      <w:r>
        <w:t xml:space="preserve"/>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“The world is being remade. Every assumption is up for revision. Every decision requires a new map.” We are the mapmakers. Let us be honest and credible ones.</w:t>
            </w:r>
          </w:p>
        </w:tc>
      </w:tr>
    </w:tbl>
    <w:p>
      <w:pPr>
        <w:spacing w:after="400"/>
      </w:pPr>
      <w:r>
        <w:t xml:space="preserve"/>
      </w:r>
    </w:p>
    <w:p>
      <w:pPr>
        <w:spacing w:before="200"/>
        <w:jc w:val="center"/>
      </w:pPr>
      <w:r>
        <w:rPr>
          <w:rFonts w:ascii="Arial" w:cs="Arial" w:eastAsia="Arial" w:hAnsi="Arial"/>
          <w:b/>
          <w:bCs/>
          <w:color w:val="0A2540"/>
          <w:sz w:val="22"/>
          <w:szCs w:val="22"/>
        </w:rPr>
        <w:t xml:space="preserve">NextGen Economics</w:t>
      </w:r>
    </w:p>
    <w:p>
      <w:pPr>
        <w:jc w:val="center"/>
      </w:pPr>
      <w:r>
        <w:rPr>
          <w:rFonts w:ascii="Arial" w:cs="Arial" w:eastAsia="Arial" w:hAnsi="Arial"/>
          <w:color w:val="6B6B6B"/>
          <w:sz w:val="19"/>
          <w:szCs w:val="19"/>
        </w:rPr>
        <w:t xml:space="preserve">Bengaluru, India · July 4,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rPr>
          <w:rFonts w:ascii="Georgia" w:cs="Georgia" w:eastAsia="Georgia" w:hAnsi="Georgia"/>
          <w:color w:val="555555"/>
          <w:sz w:val="18"/>
          <w:szCs w:val="18"/>
        </w:rPr>
        <w:t xml:space="preserve">Credit Suisse (2025). Global Wealth Report. Zurich: Credit Suisse Research Institute. (Bibliography ref. 15)</w:t>
      </w:r>
    </w:p>
  </w:footnote>
  <w:footnote w:id="2">
    <w:p>
      <w:r>
        <w:rPr>
          <w:rStyle w:val="FootnoteReference"/>
        </w:rPr>
        <w:footnoteRef/>
      </w:r>
      <w:r>
        <w:rPr>
          <w:rFonts w:ascii="Georgia" w:cs="Georgia" w:eastAsia="Georgia" w:hAnsi="Georgia"/>
          <w:color w:val="555555"/>
          <w:sz w:val="18"/>
          <w:szCs w:val="18"/>
        </w:rPr>
        <w:t xml:space="preserve">Institute of International Finance (2026). Global Debt Monitor. Washington, DC: IIF. (Bibliography ref. 2)</w:t>
      </w:r>
    </w:p>
  </w:footnote>
  <w:footnote w:id="3">
    <w:p>
      <w:r>
        <w:rPr>
          <w:rStyle w:val="FootnoteReference"/>
        </w:rPr>
        <w:footnoteRef/>
      </w:r>
      <w:r>
        <w:rPr>
          <w:rFonts w:ascii="Georgia" w:cs="Georgia" w:eastAsia="Georgia" w:hAnsi="Georgia"/>
          <w:color w:val="555555"/>
          <w:sz w:val="18"/>
          <w:szCs w:val="18"/>
        </w:rPr>
        <w:t xml:space="preserve">International Monetary Fund (2026). Global Financial Stability Report. Washington, DC: IMF. (Bibliography ref. 19)</w:t>
      </w:r>
    </w:p>
  </w:footnote>
  <w:footnote w:id="4">
    <w:p>
      <w:r>
        <w:rPr>
          <w:rStyle w:val="FootnoteReference"/>
        </w:rPr>
        <w:footnoteRef/>
      </w:r>
      <w:r>
        <w:rPr>
          <w:rFonts w:ascii="Georgia" w:cs="Georgia" w:eastAsia="Georgia" w:hAnsi="Georgia"/>
          <w:color w:val="555555"/>
          <w:sz w:val="18"/>
          <w:szCs w:val="18"/>
        </w:rPr>
        <w:t xml:space="preserve">Institute of International Finance (2026). Global Debt Monitor. Washington, DC: IIF. (Bibliography ref. 2)</w:t>
      </w:r>
    </w:p>
  </w:footnote>
  <w:footnote w:id="5">
    <w:p>
      <w:r>
        <w:rPr>
          <w:rStyle w:val="FootnoteReference"/>
        </w:rPr>
        <w:footnoteRef/>
      </w:r>
      <w:r>
        <w:rPr>
          <w:rFonts w:ascii="Georgia" w:cs="Georgia" w:eastAsia="Georgia" w:hAnsi="Georgia"/>
          <w:color w:val="555555"/>
          <w:sz w:val="18"/>
          <w:szCs w:val="18"/>
        </w:rPr>
        <w:t xml:space="preserve">World Inequality Lab (2025). World Inequality Report. Paris: WIL. (Bibliography ref. 14)</w:t>
      </w:r>
    </w:p>
  </w:footnote>
  <w:footnote w:id="6">
    <w:p>
      <w:r>
        <w:rPr>
          <w:rStyle w:val="FootnoteReference"/>
        </w:rPr>
        <w:footnoteRef/>
      </w:r>
      <w:r>
        <w:rPr>
          <w:rFonts w:ascii="Georgia" w:cs="Georgia" w:eastAsia="Georgia" w:hAnsi="Georgia"/>
          <w:color w:val="555555"/>
          <w:sz w:val="18"/>
          <w:szCs w:val="18"/>
        </w:rPr>
        <w:t xml:space="preserve">International Energy Agency (2025). World Energy Investment. Paris: IEA. (Bibliography ref. 6)</w:t>
      </w:r>
    </w:p>
  </w:footnote>
  <w:footnote w:id="7">
    <w:p>
      <w:r>
        <w:rPr>
          <w:rStyle w:val="FootnoteReference"/>
        </w:rPr>
        <w:footnoteRef/>
      </w:r>
      <w:r>
        <w:rPr>
          <w:rFonts w:ascii="Georgia" w:cs="Georgia" w:eastAsia="Georgia" w:hAnsi="Georgia"/>
          <w:color w:val="555555"/>
          <w:sz w:val="18"/>
          <w:szCs w:val="18"/>
        </w:rPr>
        <w:t xml:space="preserve">IRENA (2025). World Energy Transitions Outlook. Abu Dhabi: IRENA. (Bibliography ref. 7)</w:t>
      </w:r>
    </w:p>
  </w:footnote>
  <w:footnote w:id="8">
    <w:p>
      <w:r>
        <w:rPr>
          <w:rStyle w:val="FootnoteReference"/>
        </w:rPr>
        <w:footnoteRef/>
      </w:r>
      <w:r>
        <w:rPr>
          <w:rFonts w:ascii="Georgia" w:cs="Georgia" w:eastAsia="Georgia" w:hAnsi="Georgia"/>
          <w:color w:val="555555"/>
          <w:sz w:val="18"/>
          <w:szCs w:val="18"/>
        </w:rPr>
        <w:t xml:space="preserve">United Nations (2025). World Population Prospects. New York: UN Department of Economic and Social Affairs. (Bibliography ref. 17)</w:t>
      </w:r>
    </w:p>
  </w:footnote>
  <w:footnote w:id="9">
    <w:p>
      <w:r>
        <w:rPr>
          <w:rStyle w:val="FootnoteReference"/>
        </w:rPr>
        <w:footnoteRef/>
      </w:r>
      <w:r>
        <w:rPr>
          <w:rFonts w:ascii="Georgia" w:cs="Georgia" w:eastAsia="Georgia" w:hAnsi="Georgia"/>
          <w:color w:val="555555"/>
          <w:sz w:val="18"/>
          <w:szCs w:val="18"/>
        </w:rPr>
        <w:t xml:space="preserve">Oxford Economics (2025). The Long-Term Economic Impact of AI. Oxford: Oxford Economics. (Bibliography ref. 20)</w:t>
      </w:r>
    </w:p>
  </w:footnote>
  <w:footnote w:id="10">
    <w:p>
      <w:r>
        <w:rPr>
          <w:rStyle w:val="FootnoteReference"/>
        </w:rPr>
        <w:footnoteRef/>
      </w:r>
      <w:r>
        <w:rPr>
          <w:rFonts w:ascii="Georgia" w:cs="Georgia" w:eastAsia="Georgia" w:hAnsi="Georgia"/>
          <w:color w:val="555555"/>
          <w:sz w:val="18"/>
          <w:szCs w:val="18"/>
        </w:rPr>
        <w:t xml:space="preserve">IRENA (2025). World Energy Transitions Outlook. Abu Dhabi: IRENA. (Bibliography ref. 7)</w:t>
      </w:r>
    </w:p>
  </w:footnote>
  <w:footnote w:id="11">
    <w:p>
      <w:r>
        <w:rPr>
          <w:rStyle w:val="FootnoteReference"/>
        </w:rPr>
        <w:footnoteRef/>
      </w:r>
      <w:r>
        <w:rPr>
          <w:rFonts w:ascii="Georgia" w:cs="Georgia" w:eastAsia="Georgia" w:hAnsi="Georgia"/>
          <w:color w:val="555555"/>
          <w:sz w:val="18"/>
          <w:szCs w:val="18"/>
        </w:rPr>
        <w:t xml:space="preserve">McKinsey Global Institute (2024). The Bio Revolution. New York: McKinsey &amp; Company. (Bibliography ref. 10)</w:t>
      </w:r>
    </w:p>
  </w:footnote>
  <w:footnote w:id="12">
    <w:p>
      <w:r>
        <w:rPr>
          <w:rStyle w:val="FootnoteReference"/>
        </w:rPr>
        <w:footnoteRef/>
      </w:r>
      <w:r>
        <w:rPr>
          <w:rFonts w:ascii="Georgia" w:cs="Georgia" w:eastAsia="Georgia" w:hAnsi="Georgia"/>
          <w:color w:val="555555"/>
          <w:sz w:val="18"/>
          <w:szCs w:val="18"/>
        </w:rPr>
        <w:t xml:space="preserve">McKinsey Global Institute (2023). The Economic Potential of Generative AI. New York: McKinsey &amp; Company. (Bibliography ref. 4)</w:t>
      </w:r>
    </w:p>
  </w:footnote>
  <w:footnote w:id="13">
    <w:p>
      <w:r>
        <w:rPr>
          <w:rStyle w:val="FootnoteReference"/>
        </w:rPr>
        <w:footnoteRef/>
      </w:r>
      <w:r>
        <w:rPr>
          <w:rFonts w:ascii="Georgia" w:cs="Georgia" w:eastAsia="Georgia" w:hAnsi="Georgia"/>
          <w:color w:val="555555"/>
          <w:sz w:val="18"/>
          <w:szCs w:val="18"/>
        </w:rPr>
        <w:t xml:space="preserve">International Monetary Fund (2026). World Economic Outlook. Washington, DC: IMF. (Bibliography ref. 1)</w:t>
      </w:r>
    </w:p>
  </w:footnote>
  <w:footnote w:id="14">
    <w:p>
      <w:r>
        <w:rPr>
          <w:rStyle w:val="FootnoteReference"/>
        </w:rPr>
        <w:footnoteRef/>
      </w:r>
      <w:r>
        <w:rPr>
          <w:rFonts w:ascii="Georgia" w:cs="Georgia" w:eastAsia="Georgia" w:hAnsi="Georgia"/>
          <w:color w:val="555555"/>
          <w:sz w:val="18"/>
          <w:szCs w:val="18"/>
        </w:rPr>
        <w:t xml:space="preserve">See Appendix A.1 (The Growth Model) for the full derivation of the Theseus Growth Rate and its four-scenario range.</w:t>
      </w:r>
    </w:p>
  </w:footnote>
  <w:footnote w:id="15">
    <w:p>
      <w:r>
        <w:rPr>
          <w:rStyle w:val="FootnoteReference"/>
        </w:rPr>
        <w:footnoteRef/>
      </w:r>
      <w:r>
        <w:rPr>
          <w:rFonts w:ascii="Georgia" w:cs="Georgia" w:eastAsia="Georgia" w:hAnsi="Georgia"/>
          <w:color w:val="555555"/>
          <w:sz w:val="18"/>
          <w:szCs w:val="18"/>
        </w:rPr>
        <w:t xml:space="preserve">See Appendix A.4 (Historical Precedent Benchmarking) for the post-WWII, China, and Asian Tigers growth-rate comparisons.</w:t>
      </w:r>
    </w:p>
  </w:footnote>
  <w:footnote w:id="16">
    <w:p>
      <w:r>
        <w:rPr>
          <w:rStyle w:val="FootnoteReference"/>
        </w:rPr>
        <w:footnoteRef/>
      </w:r>
      <w:r>
        <w:rPr>
          <w:rFonts w:ascii="Georgia" w:cs="Georgia" w:eastAsia="Georgia" w:hAnsi="Georgia"/>
          <w:color w:val="555555"/>
          <w:sz w:val="18"/>
          <w:szCs w:val="18"/>
        </w:rPr>
        <w:t xml:space="preserve">Nature Biotechnology (2025). “Synthetic Biology Market Outlook.” Nature Biotechnology, 43(2), 145–158. (Bibliography ref. 11)</w:t>
      </w:r>
    </w:p>
  </w:footnote>
  <w:footnote w:id="17">
    <w:p>
      <w:r>
        <w:rPr>
          <w:rStyle w:val="FootnoteReference"/>
        </w:rPr>
        <w:footnoteRef/>
      </w:r>
      <w:r>
        <w:rPr>
          <w:rFonts w:ascii="Georgia" w:cs="Georgia" w:eastAsia="Georgia" w:hAnsi="Georgia"/>
          <w:color w:val="555555"/>
          <w:sz w:val="18"/>
          <w:szCs w:val="18"/>
        </w:rPr>
        <w:t xml:space="preserve">Figures computed via the compounding formula in Appendix A.1 (GDP_t = GDP_0 × (1+g)^t); may differ slightly from the illustrative headline figures in Section 2.4 due to rounding conventions — see Appendix A.1 for the reconciliation note.</w:t>
      </w:r>
    </w:p>
  </w:footnote>
  <w:footnote w:id="18">
    <w:p>
      <w:r>
        <w:rPr>
          <w:rStyle w:val="FootnoteReference"/>
        </w:rPr>
        <w:footnoteRef/>
      </w:r>
      <w:r>
        <w:rPr>
          <w:rFonts w:ascii="Georgia" w:cs="Georgia" w:eastAsia="Georgia" w:hAnsi="Georgia"/>
          <w:color w:val="555555"/>
          <w:sz w:val="18"/>
          <w:szCs w:val="18"/>
        </w:rPr>
        <w:t xml:space="preserve">See Appendix A.6 (Demographic Substitution Elasticity Model) for the full illustrative decomposition.</w:t>
      </w:r>
    </w:p>
  </w:footnote>
  <w:footnote w:id="19">
    <w:p>
      <w:r>
        <w:rPr>
          <w:rStyle w:val="FootnoteReference"/>
        </w:rPr>
        <w:footnoteRef/>
      </w:r>
      <w:r>
        <w:rPr>
          <w:rFonts w:ascii="Georgia" w:cs="Georgia" w:eastAsia="Georgia" w:hAnsi="Georgia"/>
          <w:color w:val="555555"/>
          <w:sz w:val="18"/>
          <w:szCs w:val="18"/>
        </w:rPr>
        <w:t xml:space="preserve">McKinsey Global Institute (2025). The Rise of Paper Wealth. New York: McKinsey &amp; Company. (Bibliography ref. 3)</w:t>
      </w:r>
    </w:p>
  </w:footnote>
  <w:footnote w:id="20">
    <w:p>
      <w:r>
        <w:rPr>
          <w:rStyle w:val="FootnoteReference"/>
        </w:rPr>
        <w:footnoteRef/>
      </w:r>
      <w:r>
        <w:rPr>
          <w:rFonts w:ascii="Georgia" w:cs="Georgia" w:eastAsia="Georgia" w:hAnsi="Georgia"/>
          <w:color w:val="555555"/>
          <w:sz w:val="18"/>
          <w:szCs w:val="18"/>
        </w:rPr>
        <w:t xml:space="preserve">International Monetary Fund (2026). Global Financial Stability Report. Washington, DC: IMF. (Bibliography ref. 19)</w:t>
      </w:r>
    </w:p>
  </w:footnote>
  <w:footnote w:id="21">
    <w:p>
      <w:r>
        <w:rPr>
          <w:rStyle w:val="FootnoteReference"/>
        </w:rPr>
        <w:footnoteRef/>
      </w:r>
      <w:r>
        <w:rPr>
          <w:rFonts w:ascii="Georgia" w:cs="Georgia" w:eastAsia="Georgia" w:hAnsi="Georgia"/>
          <w:color w:val="555555"/>
          <w:sz w:val="18"/>
          <w:szCs w:val="18"/>
        </w:rPr>
        <w:t xml:space="preserve">See Appendix A.7 for the historical windfall-distribution comparison (mobile telephony, Gulf oil rents, Norway's sovereign wealth model).</w:t>
      </w:r>
    </w:p>
  </w:footnote>
  <w:footnote w:id="22">
    <w:p>
      <w:r>
        <w:rPr>
          <w:rStyle w:val="FootnoteReference"/>
        </w:rPr>
        <w:footnoteRef/>
      </w:r>
      <w:r>
        <w:rPr>
          <w:rFonts w:ascii="Georgia" w:cs="Georgia" w:eastAsia="Georgia" w:hAnsi="Georgia"/>
          <w:color w:val="555555"/>
          <w:sz w:val="18"/>
          <w:szCs w:val="18"/>
        </w:rPr>
        <w:t xml:space="preserve">Bank for International Settlements (2025). CBDCs: Progress and Roadmap. Basel: BIS. (Bibliography ref. 16)</w:t>
      </w:r>
    </w:p>
  </w:footnote>
  <w:footnote w:id="23">
    <w:p>
      <w:r>
        <w:rPr>
          <w:rStyle w:val="FootnoteReference"/>
        </w:rPr>
        <w:footnoteRef/>
      </w:r>
      <w:r>
        <w:rPr>
          <w:rFonts w:ascii="Georgia" w:cs="Georgia" w:eastAsia="Georgia" w:hAnsi="Georgia"/>
          <w:color w:val="555555"/>
          <w:sz w:val="18"/>
          <w:szCs w:val="18"/>
        </w:rPr>
        <w:t xml:space="preserve">See Appendix A.5 for the productivity-decomposition method underlying these filter-drag estimates; they are illustrative, not econometrically estimated.</w:t>
      </w:r>
    </w:p>
  </w:footnote>
  <w:footnote w:id="24">
    <w:p>
      <w:r>
        <w:rPr>
          <w:rStyle w:val="FootnoteReference"/>
        </w:rPr>
        <w:footnoteRef/>
      </w:r>
      <w:r>
        <w:rPr>
          <w:rFonts w:ascii="Georgia" w:cs="Georgia" w:eastAsia="Georgia" w:hAnsi="Georgia"/>
          <w:color w:val="555555"/>
          <w:sz w:val="18"/>
          <w:szCs w:val="18"/>
        </w:rPr>
        <w:t xml:space="preserve">Historical parallels are illustrative, not sourced to a single reference; see Appendix A.4 for the growth-rate precedent discussion this draws on.</w:t>
      </w:r>
    </w:p>
  </w:footnote>
  <w:footnote w:id="25">
    <w:p>
      <w:r>
        <w:rPr>
          <w:rStyle w:val="FootnoteReference"/>
        </w:rPr>
        <w:footnoteRef/>
      </w:r>
      <w:r>
        <w:rPr>
          <w:rFonts w:ascii="Georgia" w:cs="Georgia" w:eastAsia="Georgia" w:hAnsi="Georgia"/>
          <w:color w:val="555555"/>
          <w:sz w:val="18"/>
          <w:szCs w:val="18"/>
        </w:rPr>
        <w:t xml:space="preserve">United Nations (2025). World Population Prospects. New York: UN Department of Economic and Social Affairs. (Bibliography ref. 17)</w:t>
      </w:r>
    </w:p>
  </w:footnote>
  <w:footnote w:id="26">
    <w:p>
      <w:r>
        <w:rPr>
          <w:rStyle w:val="FootnoteReference"/>
        </w:rPr>
        <w:footnoteRef/>
      </w:r>
      <w:r>
        <w:rPr>
          <w:rFonts w:ascii="Georgia" w:cs="Georgia" w:eastAsia="Georgia" w:hAnsi="Georgia"/>
          <w:color w:val="555555"/>
          <w:sz w:val="18"/>
          <w:szCs w:val="18"/>
        </w:rPr>
        <w:t xml:space="preserve">World Economic Forum (2025). The Future of Jobs Report. Geneva: WEF. (Bibliography ref.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646de4afacdac5e697ef95279b5c479d54a5095.png"/><Relationship Id="rId8" Type="http://schemas.openxmlformats.org/officeDocument/2006/relationships/image" Target="media/854abc101847c36704c300be4fb96052ea9e9211.png"/><Relationship Id="rId9" Type="http://schemas.openxmlformats.org/officeDocument/2006/relationships/image" Target="media/a50eb1250fcd4a6cca830125d78450a41791ef1e.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2026-07-04T20:20:55.151Z</dcterms:created>
  <dcterms:modified xsi:type="dcterms:W3CDTF">2026-07-04T20:20:55.151Z</dcterms:modified>
</cp:coreProperties>
</file>

<file path=docProps/custom.xml><?xml version="1.0" encoding="utf-8"?>
<Properties xmlns="http://schemas.openxmlformats.org/officeDocument/2006/custom-properties" xmlns:vt="http://schemas.openxmlformats.org/officeDocument/2006/docPropsVTypes"/>
</file>