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Arial" w:cs="Arial" w:eastAsia="Arial" w:hAnsi="Arial"/>
          <w:b/>
          <w:bCs/>
          <w:color w:val="0A2540"/>
          <w:spacing w:val="20"/>
          <w:sz w:val="22"/>
          <w:szCs w:val="22"/>
        </w:rPr>
        <w:t xml:space="preserve">NEXTGEN ECONOMICS</w:t>
      </w:r>
    </w:p>
    <w:p>
      <w:pPr>
        <w:spacing w:after="500"/>
        <w:jc w:val="center"/>
      </w:pPr>
      <w:r>
        <w:rPr>
          <w:rFonts w:ascii="Arial" w:cs="Arial" w:eastAsia="Arial" w:hAnsi="Arial"/>
          <w:b/>
          <w:bCs/>
          <w:color w:val="3D6B4F"/>
          <w:spacing w:val="8"/>
          <w:sz w:val="17"/>
          <w:szCs w:val="17"/>
        </w:rPr>
        <w:t xml:space="preserve">WHITE PAPER · DEVELOPMENT ECONOMICS &amp; HOUSEHOLD FINANCE</w:t>
      </w:r>
    </w:p>
    <w:p>
      <w:pPr>
        <w:spacing w:after="100"/>
        <w:jc w:val="center"/>
      </w:pPr>
      <w:r>
        <w:rPr>
          <w:rFonts w:ascii="Arial" w:cs="Arial" w:eastAsia="Arial" w:hAnsi="Arial"/>
          <w:b/>
          <w:bCs/>
          <w:color w:val="0A2540"/>
          <w:sz w:val="34"/>
          <w:szCs w:val="34"/>
        </w:rPr>
        <w:t xml:space="preserve">The Scarcity Trap</w:t>
      </w:r>
    </w:p>
    <w:p>
      <w:pPr>
        <w:spacing w:after="400"/>
        <w:jc w:val="center"/>
      </w:pPr>
      <w:r>
        <w:rPr>
          <w:rFonts w:ascii="Arial" w:cs="Arial" w:eastAsia="Arial" w:hAnsi="Arial"/>
          <w:i/>
          <w:iCs/>
          <w:color w:val="3D6B4F"/>
          <w:sz w:val="22"/>
          <w:szCs w:val="22"/>
        </w:rPr>
        <w:t xml:space="preserve">A Systematic Case Study on the Journey of Money in Low-Income Households</w:t>
      </w:r>
    </w:p>
    <w:p>
      <w:pPr>
        <w:spacing w:after="500"/>
        <w:jc w:val="center"/>
      </w:pPr>
      <w:r>
        <w:rPr>
          <w:rFonts w:ascii="Arial" w:cs="Arial" w:eastAsia="Arial" w:hAnsi="Arial"/>
          <w:i/>
          <w:iCs/>
          <w:color w:val="555555"/>
          <w:sz w:val="21"/>
          <w:szCs w:val="21"/>
        </w:rPr>
        <w:t xml:space="preserve">Poverty measured as capital leakage, not income shortfall alone — tracing every rupee through an illustrative household to show where structural, psychological, and commercial forces drain resources before they can accumulate. Grounded in the real, decades-deep “poverty premium” literature, not proposed as new empirical discovery.</w:t>
      </w:r>
    </w:p>
    <w:p>
      <w:pPr>
        <w:spacing w:after="40"/>
        <w:jc w:val="center"/>
      </w:pPr>
      <w:r>
        <w:rPr>
          <w:rFonts w:ascii="Arial" w:cs="Arial" w:eastAsia="Arial" w:hAnsi="Arial"/>
          <w:b/>
          <w:bCs/>
          <w:color w:val="0A2540"/>
          <w:sz w:val="22"/>
          <w:szCs w:val="22"/>
        </w:rPr>
        <w:t xml:space="preserve">Pawan Bhatia</w:t>
      </w:r>
    </w:p>
    <w:p>
      <w:pPr>
        <w:spacing w:after="40"/>
        <w:jc w:val="center"/>
      </w:pPr>
      <w:r>
        <w:rPr>
          <w:rFonts w:ascii="Arial" w:cs="Arial" w:eastAsia="Arial" w:hAnsi="Arial"/>
          <w:color w:val="1A1A1A"/>
          <w:sz w:val="20"/>
          <w:szCs w:val="20"/>
        </w:rPr>
        <w:t xml:space="preserve">NextGen Economics · Bangalore, India</w:t>
      </w:r>
    </w:p>
    <w:p>
      <w:pPr>
        <w:spacing w:after="400"/>
        <w:jc w:val="center"/>
      </w:pPr>
      <w:r>
        <w:rPr>
          <w:rFonts w:ascii="Arial" w:cs="Arial" w:eastAsia="Arial" w:hAnsi="Arial"/>
          <w:color w:val="1A1A1A"/>
          <w:sz w:val="20"/>
          <w:szCs w:val="20"/>
        </w:rPr>
        <w:t xml:space="preserve">First Draft · August 2026</w:t>
      </w:r>
    </w:p>
    <w:p>
      <w:pPr>
        <w:spacing w:after="200"/>
        <w:jc w:val="center"/>
      </w:pPr>
      <w:r>
        <w:rPr>
          <w:rFonts w:ascii="Arial" w:cs="Arial" w:eastAsia="Arial" w:hAnsi="Arial"/>
          <w:i/>
          <w:iCs/>
          <w:color w:val="555555"/>
          <w:sz w:val="18"/>
          <w:szCs w:val="18"/>
        </w:rPr>
        <w:t xml:space="preserve">Compiled with the assistance of AI tools for research synthesis and drafting, and reviewed by NextGen Economics. This is the thirteenth white paper published by NextGen Economics.</w:t>
      </w:r>
    </w:p>
    <w:p>
      <w:r>
        <w:br w:type="page"/>
      </w:r>
    </w:p>
    <w:p>
      <w:pPr>
        <w:pStyle w:val="Heading1"/>
        <w:spacing w:after="100"/>
      </w:pPr>
      <w:r>
        <w:rPr>
          <w:rFonts w:ascii="Arial" w:cs="Arial" w:eastAsia="Arial" w:hAnsi="Arial"/>
          <w:b/>
          <w:bCs/>
          <w:color w:val="0A2540"/>
          <w:sz w:val="30"/>
          <w:szCs w:val="30"/>
        </w:rPr>
        <w:t xml:space="preserve">Table of Contents</w:t>
      </w:r>
    </w:p>
    <w:p>
      <w:pPr>
        <w:pBdr>
          <w:bottom w:val="single" w:color="3D6B4F" w:sz="12" w:space="8"/>
        </w:pBdr>
        <w:spacing w:after="300"/>
      </w:pPr>
    </w:p>
    <w:p>
      <w:pPr>
        <w:tabs>
          <w:tab w:val="right" w:pos="9026" w:leader="dot"/>
        </w:tabs>
        <w:spacing w:after="140"/>
      </w:pPr>
      <w:r>
        <w:rPr>
          <w:rFonts w:ascii="Arial" w:cs="Arial" w:eastAsia="Arial" w:hAnsi="Arial"/>
          <w:color w:val="1A1A1A"/>
          <w:sz w:val="21"/>
          <w:szCs w:val="21"/>
        </w:rPr>
        <w:t xml:space="preserve">Executive Summary</w:t>
      </w:r>
      <w:r>
        <w:rPr>
          <w:rFonts w:ascii="Arial" w:cs="Arial" w:eastAsia="Arial" w:hAnsi="Arial"/>
          <w:color w:val="3D6B4F"/>
          <w:sz w:val="21"/>
          <w:szCs w:val="21"/>
        </w:rPr>
        <w:t xml:space="preserve">	3</w:t>
      </w:r>
    </w:p>
    <w:p>
      <w:pPr>
        <w:tabs>
          <w:tab w:val="right" w:pos="9026" w:leader="dot"/>
        </w:tabs>
        <w:spacing w:after="140"/>
      </w:pPr>
      <w:r>
        <w:rPr>
          <w:rFonts w:ascii="Arial" w:cs="Arial" w:eastAsia="Arial" w:hAnsi="Arial"/>
          <w:color w:val="1A1A1A"/>
          <w:sz w:val="21"/>
          <w:szCs w:val="21"/>
        </w:rPr>
        <w:t xml:space="preserve">How to Read This Paper</w:t>
      </w:r>
      <w:r>
        <w:rPr>
          <w:rFonts w:ascii="Arial" w:cs="Arial" w:eastAsia="Arial" w:hAnsi="Arial"/>
          <w:color w:val="3D6B4F"/>
          <w:sz w:val="21"/>
          <w:szCs w:val="21"/>
        </w:rPr>
        <w:t xml:space="preserve">	4</w:t>
      </w:r>
    </w:p>
    <w:p>
      <w:pPr>
        <w:tabs>
          <w:tab w:val="right" w:pos="9026" w:leader="dot"/>
        </w:tabs>
        <w:spacing w:after="140"/>
      </w:pPr>
      <w:r>
        <w:rPr>
          <w:rFonts w:ascii="Arial" w:cs="Arial" w:eastAsia="Arial" w:hAnsi="Arial"/>
          <w:color w:val="1A1A1A"/>
          <w:sz w:val="21"/>
          <w:szCs w:val="21"/>
        </w:rPr>
        <w:t xml:space="preserve">Part I — Case Profile: The Sharma Household</w:t>
      </w:r>
      <w:r>
        <w:rPr>
          <w:rFonts w:ascii="Arial" w:cs="Arial" w:eastAsia="Arial" w:hAnsi="Arial"/>
          <w:color w:val="3D6B4F"/>
          <w:sz w:val="21"/>
          <w:szCs w:val="21"/>
        </w:rPr>
        <w:t xml:space="preserve">	5</w:t>
      </w:r>
    </w:p>
    <w:p>
      <w:pPr>
        <w:tabs>
          <w:tab w:val="right" w:pos="9026" w:leader="dot"/>
        </w:tabs>
        <w:spacing w:after="140"/>
      </w:pPr>
      <w:r>
        <w:rPr>
          <w:rFonts w:ascii="Arial" w:cs="Arial" w:eastAsia="Arial" w:hAnsi="Arial"/>
          <w:color w:val="1A1A1A"/>
          <w:sz w:val="21"/>
          <w:szCs w:val="21"/>
        </w:rPr>
        <w:t xml:space="preserve">Part II — Monthly Cash Flow</w:t>
      </w:r>
      <w:r>
        <w:rPr>
          <w:rFonts w:ascii="Arial" w:cs="Arial" w:eastAsia="Arial" w:hAnsi="Arial"/>
          <w:color w:val="3D6B4F"/>
          <w:sz w:val="21"/>
          <w:szCs w:val="21"/>
        </w:rPr>
        <w:t xml:space="preserve">	6</w:t>
      </w:r>
    </w:p>
    <w:p>
      <w:pPr>
        <w:tabs>
          <w:tab w:val="right" w:pos="9026" w:leader="dot"/>
        </w:tabs>
        <w:spacing w:after="140"/>
      </w:pPr>
      <w:r>
        <w:rPr>
          <w:rFonts w:ascii="Arial" w:cs="Arial" w:eastAsia="Arial" w:hAnsi="Arial"/>
          <w:color w:val="1A1A1A"/>
          <w:sz w:val="21"/>
          <w:szCs w:val="21"/>
        </w:rPr>
        <w:t xml:space="preserve">Part III — Leakage Point Analysis</w:t>
      </w:r>
      <w:r>
        <w:rPr>
          <w:rFonts w:ascii="Arial" w:cs="Arial" w:eastAsia="Arial" w:hAnsi="Arial"/>
          <w:color w:val="3D6B4F"/>
          <w:sz w:val="21"/>
          <w:szCs w:val="21"/>
        </w:rPr>
        <w:t xml:space="preserve">	7</w:t>
      </w:r>
    </w:p>
    <w:p>
      <w:pPr>
        <w:tabs>
          <w:tab w:val="right" w:pos="9026" w:leader="dot"/>
        </w:tabs>
        <w:spacing w:after="140"/>
      </w:pPr>
      <w:r>
        <w:rPr>
          <w:rFonts w:ascii="Arial" w:cs="Arial" w:eastAsia="Arial" w:hAnsi="Arial"/>
          <w:color w:val="1A1A1A"/>
          <w:sz w:val="21"/>
          <w:szCs w:val="21"/>
        </w:rPr>
        <w:t xml:space="preserve">Part IV — The Psychology of Scarcity</w:t>
      </w:r>
      <w:r>
        <w:rPr>
          <w:rFonts w:ascii="Arial" w:cs="Arial" w:eastAsia="Arial" w:hAnsi="Arial"/>
          <w:color w:val="3D6B4F"/>
          <w:sz w:val="21"/>
          <w:szCs w:val="21"/>
        </w:rPr>
        <w:t xml:space="preserve">	13</w:t>
      </w:r>
    </w:p>
    <w:p>
      <w:pPr>
        <w:tabs>
          <w:tab w:val="right" w:pos="9026" w:leader="dot"/>
        </w:tabs>
        <w:spacing w:after="140"/>
      </w:pPr>
      <w:r>
        <w:rPr>
          <w:rFonts w:ascii="Arial" w:cs="Arial" w:eastAsia="Arial" w:hAnsi="Arial"/>
          <w:color w:val="1A1A1A"/>
          <w:sz w:val="21"/>
          <w:szCs w:val="21"/>
        </w:rPr>
        <w:t xml:space="preserve">Part V — The Structural Ecosystem</w:t>
      </w:r>
      <w:r>
        <w:rPr>
          <w:rFonts w:ascii="Arial" w:cs="Arial" w:eastAsia="Arial" w:hAnsi="Arial"/>
          <w:color w:val="3D6B4F"/>
          <w:sz w:val="21"/>
          <w:szCs w:val="21"/>
        </w:rPr>
        <w:t xml:space="preserve">	15</w:t>
      </w:r>
    </w:p>
    <w:p>
      <w:pPr>
        <w:tabs>
          <w:tab w:val="right" w:pos="9026" w:leader="dot"/>
        </w:tabs>
        <w:spacing w:after="140"/>
      </w:pPr>
      <w:r>
        <w:rPr>
          <w:rFonts w:ascii="Arial" w:cs="Arial" w:eastAsia="Arial" w:hAnsi="Arial"/>
          <w:color w:val="1A1A1A"/>
          <w:sz w:val="21"/>
          <w:szCs w:val="21"/>
        </w:rPr>
        <w:t xml:space="preserve">Part VI — The Systemic Feedback Loop</w:t>
      </w:r>
      <w:r>
        <w:rPr>
          <w:rFonts w:ascii="Arial" w:cs="Arial" w:eastAsia="Arial" w:hAnsi="Arial"/>
          <w:color w:val="3D6B4F"/>
          <w:sz w:val="21"/>
          <w:szCs w:val="21"/>
        </w:rPr>
        <w:t xml:space="preserve">	17</w:t>
      </w:r>
    </w:p>
    <w:p>
      <w:pPr>
        <w:tabs>
          <w:tab w:val="right" w:pos="9026" w:leader="dot"/>
        </w:tabs>
        <w:spacing w:after="140"/>
      </w:pPr>
      <w:r>
        <w:rPr>
          <w:rFonts w:ascii="Arial" w:cs="Arial" w:eastAsia="Arial" w:hAnsi="Arial"/>
          <w:color w:val="1A1A1A"/>
          <w:sz w:val="21"/>
          <w:szCs w:val="21"/>
        </w:rPr>
        <w:t xml:space="preserve">Part VII — The Counterfactual</w:t>
      </w:r>
      <w:r>
        <w:rPr>
          <w:rFonts w:ascii="Arial" w:cs="Arial" w:eastAsia="Arial" w:hAnsi="Arial"/>
          <w:color w:val="3D6B4F"/>
          <w:sz w:val="21"/>
          <w:szCs w:val="21"/>
        </w:rPr>
        <w:t xml:space="preserve">	18</w:t>
      </w:r>
    </w:p>
    <w:p>
      <w:pPr>
        <w:tabs>
          <w:tab w:val="right" w:pos="9026" w:leader="dot"/>
        </w:tabs>
        <w:spacing w:after="140"/>
      </w:pPr>
      <w:r>
        <w:rPr>
          <w:rFonts w:ascii="Arial" w:cs="Arial" w:eastAsia="Arial" w:hAnsi="Arial"/>
          <w:color w:val="1A1A1A"/>
          <w:sz w:val="21"/>
          <w:szCs w:val="21"/>
        </w:rPr>
        <w:t xml:space="preserve">What Real-World Interventions Have Actually Shown</w:t>
      </w:r>
      <w:r>
        <w:rPr>
          <w:rFonts w:ascii="Arial" w:cs="Arial" w:eastAsia="Arial" w:hAnsi="Arial"/>
          <w:color w:val="3D6B4F"/>
          <w:sz w:val="21"/>
          <w:szCs w:val="21"/>
        </w:rPr>
        <w:t xml:space="preserve">	20</w:t>
      </w:r>
    </w:p>
    <w:p>
      <w:pPr>
        <w:tabs>
          <w:tab w:val="right" w:pos="9026" w:leader="dot"/>
        </w:tabs>
        <w:spacing w:after="140"/>
      </w:pPr>
      <w:r>
        <w:rPr>
          <w:rFonts w:ascii="Arial" w:cs="Arial" w:eastAsia="Arial" w:hAnsi="Arial"/>
          <w:color w:val="1A1A1A"/>
          <w:sz w:val="21"/>
          <w:szCs w:val="21"/>
        </w:rPr>
        <w:t xml:space="preserve">Part VIII — A New Poverty Metric</w:t>
      </w:r>
      <w:r>
        <w:rPr>
          <w:rFonts w:ascii="Arial" w:cs="Arial" w:eastAsia="Arial" w:hAnsi="Arial"/>
          <w:color w:val="3D6B4F"/>
          <w:sz w:val="21"/>
          <w:szCs w:val="21"/>
        </w:rPr>
        <w:t xml:space="preserve">	22</w:t>
      </w:r>
    </w:p>
    <w:p>
      <w:pPr>
        <w:tabs>
          <w:tab w:val="right" w:pos="9026" w:leader="dot"/>
        </w:tabs>
        <w:spacing w:after="140"/>
      </w:pPr>
      <w:r>
        <w:rPr>
          <w:rFonts w:ascii="Arial" w:cs="Arial" w:eastAsia="Arial" w:hAnsi="Arial"/>
          <w:color w:val="1A1A1A"/>
          <w:sz w:val="21"/>
          <w:szCs w:val="21"/>
        </w:rPr>
        <w:t xml:space="preserve">Part IX — Policy Implications</w:t>
      </w:r>
      <w:r>
        <w:rPr>
          <w:rFonts w:ascii="Arial" w:cs="Arial" w:eastAsia="Arial" w:hAnsi="Arial"/>
          <w:color w:val="3D6B4F"/>
          <w:sz w:val="21"/>
          <w:szCs w:val="21"/>
        </w:rPr>
        <w:t xml:space="preserve">	24</w:t>
      </w:r>
    </w:p>
    <w:p>
      <w:pPr>
        <w:tabs>
          <w:tab w:val="right" w:pos="9026" w:leader="dot"/>
        </w:tabs>
        <w:spacing w:after="140"/>
      </w:pPr>
      <w:r>
        <w:rPr>
          <w:rFonts w:ascii="Arial" w:cs="Arial" w:eastAsia="Arial" w:hAnsi="Arial"/>
          <w:color w:val="1A1A1A"/>
          <w:sz w:val="21"/>
          <w:szCs w:val="21"/>
        </w:rPr>
        <w:t xml:space="preserve">Part X — Conclusion</w:t>
      </w:r>
      <w:r>
        <w:rPr>
          <w:rFonts w:ascii="Arial" w:cs="Arial" w:eastAsia="Arial" w:hAnsi="Arial"/>
          <w:color w:val="3D6B4F"/>
          <w:sz w:val="21"/>
          <w:szCs w:val="21"/>
        </w:rPr>
        <w:t xml:space="preserve">	26</w:t>
      </w:r>
    </w:p>
    <w:p>
      <w:pPr>
        <w:tabs>
          <w:tab w:val="right" w:pos="9026" w:leader="dot"/>
        </w:tabs>
        <w:spacing w:after="140"/>
      </w:pPr>
      <w:r>
        <w:rPr>
          <w:rFonts w:ascii="Arial" w:cs="Arial" w:eastAsia="Arial" w:hAnsi="Arial"/>
          <w:color w:val="1A1A1A"/>
          <w:sz w:val="21"/>
          <w:szCs w:val="21"/>
        </w:rPr>
        <w:t xml:space="preserve">Appendix &amp; References</w:t>
      </w:r>
      <w:r>
        <w:rPr>
          <w:rFonts w:ascii="Arial" w:cs="Arial" w:eastAsia="Arial" w:hAnsi="Arial"/>
          <w:color w:val="3D6B4F"/>
          <w:sz w:val="21"/>
          <w:szCs w:val="21"/>
        </w:rPr>
        <w:t xml:space="preserve">	27</w:t>
      </w:r>
    </w:p>
    <w:p>
      <w:r>
        <w:br w:type="page"/>
      </w:r>
    </w:p>
    <w:p>
      <w:pPr>
        <w:pStyle w:val="Heading1"/>
        <w:spacing w:after="200" w:before="400"/>
      </w:pPr>
      <w:r>
        <w:rPr>
          <w:rFonts w:ascii="Arial" w:cs="Arial" w:eastAsia="Arial" w:hAnsi="Arial"/>
          <w:b/>
          <w:bCs/>
          <w:color w:val="0A2540"/>
          <w:sz w:val="30"/>
          <w:szCs w:val="30"/>
        </w:rPr>
        <w:t xml:space="preserve">Executive Summary</w:t>
      </w:r>
    </w:p>
    <w:p>
      <w:pPr>
        <w:spacing w:after="200" w:line="276"/>
        <w:jc w:val="both"/>
      </w:pPr>
      <w:r>
        <w:rPr>
          <w:rFonts w:ascii="Arial" w:cs="Arial" w:eastAsia="Arial" w:hAnsi="Arial"/>
          <w:b w:val="false"/>
          <w:bCs w:val="false"/>
          <w:i w:val="false"/>
          <w:iCs w:val="false"/>
          <w:color w:val="1A1A1A"/>
          <w:sz w:val="21"/>
          <w:szCs w:val="21"/>
        </w:rPr>
        <w:t xml:space="preserve">Absolute poverty is conventionally measured by income thresholds — a dollar-a-day line, a calorie count, a housing standard. Income is only the entry point. This paper argues that poverty is better understood as a system of capital leakage: a network of structural, psychological, and commercial forces that drain financial resources from low-income households before they can accumulate into productive assets.</w:t>
      </w:r>
    </w:p>
    <w:p>
      <w:pPr>
        <w:spacing w:after="200" w:line="276"/>
        <w:jc w:val="both"/>
      </w:pPr>
      <w:r>
        <w:rPr>
          <w:rFonts w:ascii="Arial" w:cs="Arial" w:eastAsia="Arial" w:hAnsi="Arial"/>
          <w:b w:val="false"/>
          <w:bCs w:val="false"/>
          <w:i w:val="false"/>
          <w:iCs w:val="false"/>
          <w:color w:val="1A1A1A"/>
          <w:sz w:val="21"/>
          <w:szCs w:val="21"/>
        </w:rPr>
        <w:t xml:space="preserve">Using an illustrative, composite household in an urbanizing South Asian context — not a surveyed family, but a construction built to be representative of well-documented patterns — we trace the path of a typical rupee through six recurring “leakage points,” examine the psychological and structural forces driving those leakages, and propose a counterfactual pathway that redirects consumption toward capability and capital formation.</w:t>
      </w:r>
    </w:p>
    <w:p>
      <w:pPr>
        <w:spacing w:after="200" w:line="276"/>
        <w:jc w:val="both"/>
      </w:pPr>
      <w:r>
        <w:rPr>
          <w:rFonts w:ascii="Arial" w:cs="Arial" w:eastAsia="Arial" w:hAnsi="Arial"/>
          <w:b/>
          <w:bCs/>
          <w:color w:val="1A1A1A"/>
          <w:sz w:val="21"/>
          <w:szCs w:val="21"/>
        </w:rPr>
        <w:t xml:space="preserve">Central thesis: </w:t>
      </w:r>
      <w:r>
        <w:rPr>
          <w:rFonts w:ascii="Arial" w:cs="Arial" w:eastAsia="Arial" w:hAnsi="Arial"/>
          <w:color w:val="1A1A1A"/>
          <w:sz w:val="21"/>
          <w:szCs w:val="21"/>
        </w:rPr>
        <w:t xml:space="preserve">a household escapes poverty not merely when its income rises, but when its surplus — income minus essential costs — consistently flows into productive assets (human capital, liquid savings, income-generating capital) rather than dissipating through recurring consumption, status-driven expenditure, and high-cost debt servicing.</w:t>
      </w:r>
    </w:p>
    <w:p>
      <w:r>
        <w:br w:type="page"/>
      </w:r>
    </w:p>
    <w:p>
      <w:pPr>
        <w:pStyle w:val="Heading1"/>
        <w:spacing w:after="200" w:before="400"/>
      </w:pPr>
      <w:r>
        <w:rPr>
          <w:rFonts w:ascii="Arial" w:cs="Arial" w:eastAsia="Arial" w:hAnsi="Arial"/>
          <w:b/>
          <w:bCs/>
          <w:color w:val="0A2540"/>
          <w:sz w:val="30"/>
          <w:szCs w:val="30"/>
        </w:rPr>
        <w:t xml:space="preserve">How to Read This Paper</w:t>
      </w:r>
    </w:p>
    <w:p>
      <w:pPr>
        <w:spacing w:after="200" w:line="276"/>
        <w:jc w:val="both"/>
      </w:pPr>
      <w:r>
        <w:rPr>
          <w:rFonts w:ascii="Arial" w:cs="Arial" w:eastAsia="Arial" w:hAnsi="Arial"/>
          <w:b w:val="false"/>
          <w:bCs w:val="false"/>
          <w:i w:val="false"/>
          <w:iCs w:val="false"/>
          <w:color w:val="1A1A1A"/>
          <w:sz w:val="21"/>
          <w:szCs w:val="21"/>
        </w:rPr>
        <w:t xml:space="preserve">NGE's standard practice is to verify before publishing, name what could not be verified, and correct errors in public when found. This paper mixes three different kinds of claims, and they should be read differently:</w:t>
      </w:r>
    </w:p>
    <w:p>
      <w:pPr>
        <w:spacing w:after="200" w:line="276"/>
        <w:jc w:val="both"/>
      </w:pPr>
      <w:r>
        <w:rPr>
          <w:rFonts w:ascii="Arial" w:cs="Arial" w:eastAsia="Arial" w:hAnsi="Arial"/>
          <w:b/>
          <w:bCs/>
          <w:color w:val="1A1A1A"/>
          <w:sz w:val="21"/>
          <w:szCs w:val="21"/>
        </w:rPr>
        <w:t xml:space="preserve">Established, citable research: </w:t>
      </w:r>
      <w:r>
        <w:rPr>
          <w:rFonts w:ascii="Arial" w:cs="Arial" w:eastAsia="Arial" w:hAnsi="Arial"/>
          <w:color w:val="1A1A1A"/>
          <w:sz w:val="21"/>
          <w:szCs w:val="21"/>
        </w:rPr>
        <w:t xml:space="preserve">the core phenomenon this paper describes — that low-income households systematically pay more for the same goods and services — is not a new finding. It has a name, “the poverty premium,” and a research lineage stretching back to David Caplovitz's 1967 study The Poor Pay More, with contemporary quantification from the University of Bristol's Personal Finance Research Centre finding UK low-income households pay an average of £490 more per year for essentials than higher-income households. The psychological mechanisms discussed in Part IV — cognitive bandwidth taxation under scarcity, present bias, tunneling — draw on real published research, principally Banerjee and Mullainathan's work on limited attention under poverty and Mullainathan and Shafir's book Scarcity: Why Having Too Little Means So Much. The informal moneylender interest rates cited in Part III are within the well-documented range for rural and urban India: peer-reviewed and government-survey sources place typical informal rates between 24% and 150% annualized, with 36–120% common for traditional relationship-based lenders — the 60% figure used in this paper's illustrative case sits squarely inside that documented range, not at an extreme.</w:t>
      </w:r>
    </w:p>
    <w:p>
      <w:pPr>
        <w:spacing w:after="200" w:line="276"/>
        <w:jc w:val="both"/>
      </w:pPr>
      <w:r>
        <w:rPr>
          <w:rFonts w:ascii="Arial" w:cs="Arial" w:eastAsia="Arial" w:hAnsi="Arial"/>
          <w:b/>
          <w:bCs/>
          <w:color w:val="1A1A1A"/>
          <w:sz w:val="21"/>
          <w:szCs w:val="21"/>
        </w:rPr>
        <w:t xml:space="preserve">This paper's illustrative construction: </w:t>
      </w:r>
      <w:r>
        <w:rPr>
          <w:rFonts w:ascii="Arial" w:cs="Arial" w:eastAsia="Arial" w:hAnsi="Arial"/>
          <w:color w:val="1A1A1A"/>
          <w:sz w:val="21"/>
          <w:szCs w:val="21"/>
        </w:rPr>
        <w:t xml:space="preserve">the Sharma household itself — its names, its exact rupee figures, its specific monthly budget — is a composite built to be representative of patterns documented in the research above, not a surveyed or measured family. Every specific number attached to the household (rent, food spend, debt service, the exact leakage totals) is illustrative modelling designed to make the mechanism concrete, not empirical data collected from a real household. Where a figure is grounded in real research (the poverty premium range, moneylender rates), that grounding is stated; where it is this paper's own construction for illustrative purposes, it should be read as such.</w:t>
      </w:r>
    </w:p>
    <w:p>
      <w:pPr>
        <w:spacing w:after="200" w:line="276"/>
        <w:jc w:val="both"/>
      </w:pPr>
      <w:r>
        <w:rPr>
          <w:rFonts w:ascii="Arial" w:cs="Arial" w:eastAsia="Arial" w:hAnsi="Arial"/>
          <w:b/>
          <w:bCs/>
          <w:color w:val="1A1A1A"/>
          <w:sz w:val="21"/>
          <w:szCs w:val="21"/>
        </w:rPr>
        <w:t xml:space="preserve">This paper's own proposal: </w:t>
      </w:r>
      <w:r>
        <w:rPr>
          <w:rFonts w:ascii="Arial" w:cs="Arial" w:eastAsia="Arial" w:hAnsi="Arial"/>
          <w:color w:val="1A1A1A"/>
          <w:sz w:val="21"/>
          <w:szCs w:val="21"/>
        </w:rPr>
        <w:t xml:space="preserve">the NextGenEconomics Index (NGEI) introduced in Part VIII is an original metric proposed by this paper. It is not an existing academic or institutional standard, and the worked example applying it to the Sharma household uses the same illustrative figures as the rest of the case study — it demonstrates how the metric would be calculated, not a validated measurement.</w:t>
      </w:r>
    </w:p>
    <w:p>
      <w:pPr>
        <w:spacing w:after="200" w:line="276"/>
        <w:jc w:val="both"/>
      </w:pPr>
      <w:r>
        <w:rPr>
          <w:rFonts w:ascii="Arial" w:cs="Arial" w:eastAsia="Arial" w:hAnsi="Arial"/>
          <w:b/>
          <w:bCs/>
          <w:color w:val="1A1A1A"/>
          <w:sz w:val="21"/>
          <w:szCs w:val="21"/>
        </w:rPr>
        <w:t xml:space="preserve">Where this draft was strengthened: </w:t>
      </w:r>
      <w:r>
        <w:rPr>
          <w:rFonts w:ascii="Arial" w:cs="Arial" w:eastAsia="Arial" w:hAnsi="Arial"/>
          <w:color w:val="1A1A1A"/>
          <w:sz w:val="21"/>
          <w:szCs w:val="21"/>
        </w:rPr>
        <w:t xml:space="preserve">an earlier version of this paper relied more heavily on illustrative modelling for its counterfactual claims. This draft adds a dedicated section, immediately following Part VII, presenting real measured evidence — the J-PAL/Banerjee-Duflo randomized-trial literature, India's own Annual Status of Education Report data, and the Pradhan Mantri Jan Dhan Yojana as a real, currently-running national savings-inclusion program — including the honest caveats that evidence carries, rather than leaving the paper's structural claims resting on modelled projections alone.</w:t>
      </w:r>
    </w:p>
    <w:p>
      <w:r>
        <w:br w:type="page"/>
      </w:r>
    </w:p>
    <w:p>
      <w:pPr>
        <w:pStyle w:val="Heading1"/>
        <w:spacing w:after="200" w:before="400"/>
      </w:pPr>
      <w:r>
        <w:rPr>
          <w:rFonts w:ascii="Arial" w:cs="Arial" w:eastAsia="Arial" w:hAnsi="Arial"/>
          <w:b/>
          <w:bCs/>
          <w:color w:val="0A2540"/>
          <w:sz w:val="30"/>
          <w:szCs w:val="30"/>
        </w:rPr>
        <w:t xml:space="preserve">Part I: Case Profile: The Sharma Household</w:t>
      </w:r>
    </w:p>
    <w:p>
      <w:pPr>
        <w:spacing w:after="200" w:line="276"/>
        <w:jc w:val="both"/>
      </w:pPr>
      <w:r>
        <w:rPr>
          <w:rFonts w:ascii="Arial" w:cs="Arial" w:eastAsia="Arial" w:hAnsi="Arial"/>
          <w:b w:val="false"/>
          <w:bCs w:val="false"/>
          <w:i w:val="false"/>
          <w:iCs w:val="false"/>
          <w:color w:val="1A1A1A"/>
          <w:sz w:val="21"/>
          <w:szCs w:val="21"/>
        </w:rPr>
        <w:t xml:space="preserve">To make the mechanism of capital leakage concrete, this paper follows an illustrative household — a composite constructed to represent well-documented patterns among low-income urban families in South Asia, not a specific surveyed family.</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50"/>
      </w:tblGrid>
      <w:tr>
        <w:trPr>
          <w:tblHeader/>
        </w:trPr>
        <w:tc>
          <w:tcPr>
            <w:tcW w:type="dxa" w:w="3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Characteristic</w:t>
            </w:r>
          </w:p>
        </w:tc>
        <w:tc>
          <w:tcPr>
            <w:tcW w:type="dxa" w:w="63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Detail</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Location</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Peri-urban slum, Metro City, India (representative South Asian context)</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Household Composition</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Ramesh (38, daily wage laborer), Sunita (35, part-time domestic worker), Aarav (10, son), Priya (7, daughter)</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Combined Monthly Income</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₹14,000–16,000 (highly variable; work is irregular)</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Housing</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One-room tenement, shared toilet, no piped gas, erratic electricity</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Status</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₹10,000 outstanding to a local moneylender at 5% monthly interest — within the documented 24–150% annualized range for informal Indian lending</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Asset Profile</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One smartphone, one small gold chain (purchased at wedding), no bank savings, no insurance, no productive assets</w:t>
            </w:r>
          </w:p>
        </w:tc>
      </w:tr>
    </w:tbl>
    <w:p>
      <w:r>
        <w:br w:type="page"/>
      </w:r>
    </w:p>
    <w:p>
      <w:pPr>
        <w:pStyle w:val="Heading1"/>
        <w:spacing w:after="200" w:before="400"/>
      </w:pPr>
      <w:r>
        <w:rPr>
          <w:rFonts w:ascii="Arial" w:cs="Arial" w:eastAsia="Arial" w:hAnsi="Arial"/>
          <w:b/>
          <w:bCs/>
          <w:color w:val="0A2540"/>
          <w:sz w:val="30"/>
          <w:szCs w:val="30"/>
        </w:rPr>
        <w:t xml:space="preserve">Part II: Monthly Cash Flow — The Anatomy of a Rupee</w:t>
      </w:r>
    </w:p>
    <w:p>
      <w:pPr>
        <w:pStyle w:val="Heading2"/>
        <w:spacing w:after="150" w:before="300"/>
      </w:pPr>
      <w:r>
        <w:rPr>
          <w:rFonts w:ascii="Arial" w:cs="Arial" w:eastAsia="Arial" w:hAnsi="Arial"/>
          <w:b/>
          <w:bCs/>
          <w:color w:val="0A2540"/>
          <w:sz w:val="24"/>
          <w:szCs w:val="24"/>
        </w:rPr>
        <w:t xml:space="preserve">A. Income Allocation (Average Month)</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200"/>
        <w:gridCol w:w="1600"/>
        <w:gridCol w:w="1600"/>
        <w:gridCol w:w="3950"/>
      </w:tblGrid>
      <w:tr>
        <w:trPr>
          <w:tblHeader/>
        </w:trPr>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Category</w:t>
            </w:r>
          </w:p>
        </w:tc>
        <w:tc>
          <w:tcPr>
            <w:tcW w:type="dxa" w:w="1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Amount (₹)</w:t>
            </w:r>
          </w:p>
        </w:tc>
        <w:tc>
          <w:tcPr>
            <w:tcW w:type="dxa" w:w="1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 of Income</w:t>
            </w:r>
          </w:p>
        </w:tc>
        <w:tc>
          <w:tcPr>
            <w:tcW w:type="dxa" w:w="39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Notes</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Rent</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4,000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28%</w:t>
            </w:r>
          </w:p>
        </w:tc>
        <w:tc>
          <w:tcPr>
            <w:tcW w:type="dxa" w:w="39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Informal tenement; landlord raises rent annually</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Food &amp; Groceries</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35%</w:t>
            </w:r>
          </w:p>
        </w:tc>
        <w:tc>
          <w:tcPr>
            <w:tcW w:type="dxa" w:w="39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Split between staples and processed/convenience foods</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Education</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11%</w:t>
            </w:r>
          </w:p>
        </w:tc>
        <w:tc>
          <w:tcPr>
            <w:tcW w:type="dxa" w:w="39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Government school fees, uniforms, books, transport</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Repayment</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1,500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11%</w:t>
            </w:r>
          </w:p>
        </w:tc>
        <w:tc>
          <w:tcPr>
            <w:tcW w:type="dxa" w:w="39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₹1,000 principal + ₹500 interest (5% on ₹10,000)</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Healthcare</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500–1,000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w:t>
            </w:r>
          </w:p>
        </w:tc>
        <w:tc>
          <w:tcPr>
            <w:tcW w:type="dxa" w:w="39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 preventive care; emergency visits to local pharmacist</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Transport</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3.5%</w:t>
            </w:r>
          </w:p>
        </w:tc>
        <w:tc>
          <w:tcPr>
            <w:tcW w:type="dxa" w:w="39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Daily commute for Ramesh and Sunita</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Utilities</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3.5%</w:t>
            </w:r>
          </w:p>
        </w:tc>
        <w:tc>
          <w:tcPr>
            <w:tcW w:type="dxa" w:w="39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Prepaid meters; water purchased during shortages</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Miscellaneous/Social</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500–1,000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w:t>
            </w:r>
          </w:p>
        </w:tc>
        <w:tc>
          <w:tcPr>
            <w:tcW w:type="dxa" w:w="39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Festivals, phone recharges, snacks, small gifts</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Net Surplus</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0–1,000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0–5%</w:t>
            </w:r>
          </w:p>
        </w:tc>
        <w:tc>
          <w:tcPr>
            <w:tcW w:type="dxa" w:w="39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Often zero; any surplus is quickly consumed by shocks</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At first glance, the budget appears frugal. A deeper analysis reveals systematic leakages that prevent accumulation even when the household is making reasonable, individually rational decisions.</w:t>
      </w:r>
    </w:p>
    <w:p>
      <w:r>
        <w:br w:type="page"/>
      </w:r>
    </w:p>
    <w:p>
      <w:pPr>
        <w:pStyle w:val="Heading1"/>
        <w:spacing w:after="200" w:before="400"/>
      </w:pPr>
      <w:r>
        <w:rPr>
          <w:rFonts w:ascii="Arial" w:cs="Arial" w:eastAsia="Arial" w:hAnsi="Arial"/>
          <w:b/>
          <w:bCs/>
          <w:color w:val="0A2540"/>
          <w:sz w:val="30"/>
          <w:szCs w:val="30"/>
        </w:rPr>
        <w:t xml:space="preserve">Part III: Leakage Point Analysis</w:t>
      </w:r>
    </w:p>
    <w:p>
      <w:pPr>
        <w:pStyle w:val="Heading2"/>
        <w:spacing w:after="150" w:before="300"/>
      </w:pPr>
      <w:r>
        <w:rPr>
          <w:rFonts w:ascii="Arial" w:cs="Arial" w:eastAsia="Arial" w:hAnsi="Arial"/>
          <w:b/>
          <w:bCs/>
          <w:color w:val="0A2540"/>
          <w:sz w:val="24"/>
          <w:szCs w:val="24"/>
        </w:rPr>
        <w:t xml:space="preserve">Leakage 1: The Unit-Price Tax (Kirana Store Economics)</w:t>
      </w:r>
    </w:p>
    <w:p>
      <w:pPr>
        <w:spacing w:after="200" w:line="276"/>
        <w:jc w:val="both"/>
      </w:pPr>
      <w:r>
        <w:rPr>
          <w:rFonts w:ascii="Arial" w:cs="Arial" w:eastAsia="Arial" w:hAnsi="Arial"/>
          <w:b w:val="false"/>
          <w:bCs w:val="false"/>
          <w:i w:val="false"/>
          <w:iCs w:val="false"/>
          <w:color w:val="1A1A1A"/>
          <w:sz w:val="21"/>
          <w:szCs w:val="21"/>
        </w:rPr>
        <w:t xml:space="preserve">This is the most literal expression of the documented poverty premium: the inability to buy in bulk forces low-income households into small-unit purchases at a substantially higher per-unit price.</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1800"/>
        <w:gridCol w:w="2600"/>
        <w:gridCol w:w="2900"/>
        <w:gridCol w:w="2050"/>
      </w:tblGrid>
      <w:tr>
        <w:trPr>
          <w:tblHeader/>
        </w:trPr>
        <w:tc>
          <w:tcPr>
            <w:tcW w:type="dxa" w:w="1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Item</w:t>
            </w:r>
          </w:p>
        </w:tc>
        <w:tc>
          <w:tcPr>
            <w:tcW w:type="dxa" w:w="2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Wealthy Household (Bulk)</w:t>
            </w:r>
          </w:p>
        </w:tc>
        <w:tc>
          <w:tcPr>
            <w:tcW w:type="dxa" w:w="2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Illustrative Household (Small Unit)</w:t>
            </w:r>
          </w:p>
        </w:tc>
        <w:tc>
          <w:tcPr>
            <w:tcW w:type="dxa" w:w="20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Premium</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Rice</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₹45/kg (5kg bag)</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₹50/kg (1kg loose)</w:t>
            </w:r>
          </w:p>
        </w:tc>
        <w:tc>
          <w:tcPr>
            <w:tcW w:type="dxa" w:w="20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11%</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Cooking Oil</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₹140/L (1L bottle)</w:t>
            </w:r>
          </w:p>
        </w:tc>
        <w:tc>
          <w:tcPr>
            <w:tcW w:type="dxa" w:w="2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₹20/100ml (sachet)</w:t>
            </w:r>
          </w:p>
        </w:tc>
        <w:tc>
          <w:tcPr>
            <w:tcW w:type="dxa" w:w="20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43%</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Detergent</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₹80/500g (box)</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₹15/100g (sachet)</w:t>
            </w:r>
          </w:p>
        </w:tc>
        <w:tc>
          <w:tcPr>
            <w:tcW w:type="dxa" w:w="20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88%</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Shampoo</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₹80/200ml (bottle)</w:t>
            </w:r>
          </w:p>
        </w:tc>
        <w:tc>
          <w:tcPr>
            <w:tcW w:type="dxa" w:w="2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₹10/20ml (sachet)</w:t>
            </w:r>
          </w:p>
        </w:tc>
        <w:tc>
          <w:tcPr>
            <w:tcW w:type="dxa" w:w="20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150%</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Illustrative annual cost of this leakage: on the order of ₹6,000–8,000 more per year for the same quantity of basic goods — roughly 4–5% of the household's annual income, lost entirely to liquidity poverty rather than any lack of price awareness. This pattern is not specific to India; the University of Bristol's poverty premium research documents the same structural mechanism — inability to access bulk-buy discounts — as one of several recurring drivers of the premium low-income UK households pay.</w:t>
      </w:r>
    </w:p>
    <w:p>
      <w:pPr>
        <w:pStyle w:val="Heading2"/>
        <w:spacing w:after="150" w:before="300"/>
      </w:pPr>
      <w:r>
        <w:rPr>
          <w:rFonts w:ascii="Arial" w:cs="Arial" w:eastAsia="Arial" w:hAnsi="Arial"/>
          <w:b/>
          <w:bCs/>
          <w:color w:val="0A2540"/>
          <w:sz w:val="24"/>
          <w:szCs w:val="24"/>
        </w:rPr>
        <w:t xml:space="preserve">Leakage 2: The Nutrition-to-Productivity Drain</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1600"/>
        <w:gridCol w:w="1600"/>
        <w:gridCol w:w="2200"/>
        <w:gridCol w:w="155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Item</w:t>
            </w:r>
          </w:p>
        </w:tc>
        <w:tc>
          <w:tcPr>
            <w:tcW w:type="dxa" w:w="1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Monthly Spend</w:t>
            </w:r>
          </w:p>
        </w:tc>
        <w:tc>
          <w:tcPr>
            <w:tcW w:type="dxa" w:w="1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Calories</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Micronutrient Density</w:t>
            </w:r>
          </w:p>
        </w:tc>
        <w:tc>
          <w:tcPr>
            <w:tcW w:type="dxa" w:w="15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Economic Signal</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Processed Noodles</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₹400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High (empty carbs)</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Very low</w:t>
            </w:r>
          </w:p>
        </w:tc>
        <w:tc>
          <w:tcPr>
            <w:tcW w:type="dxa" w:w="1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Negative (long-term health cost)</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Sweetened Malt Drink</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₹300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Moderate</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 (sugar + fortification)</w:t>
            </w:r>
          </w:p>
        </w:tc>
        <w:tc>
          <w:tcPr>
            <w:tcW w:type="dxa" w:w="1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Negative (energy spike/crash)</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Biscuits/Snacks</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₹250</w:t>
            </w:r>
          </w:p>
        </w:tc>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Moderate</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Very low</w:t>
            </w:r>
          </w:p>
        </w:tc>
        <w:tc>
          <w:tcPr>
            <w:tcW w:type="dxa" w:w="1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Negative</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Total Processed Foods</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₹950</w:t>
            </w:r>
          </w:p>
        </w:tc>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High</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w:t>
            </w:r>
          </w:p>
        </w:tc>
        <w:tc>
          <w:tcPr>
            <w:tcW w:type="dxa" w:w="1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Health cost</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Illustrative counterfactual: replacing ₹950 of processed foods with eggs (₹200/month), milk (₹300/month), and seasonal vegetables and pulses (₹450/month) holds the immediate cost roughly flat while substantially raising micronutrient density — with plausible downstream effects on children's cognitive development, adult energy stability, and long-run healthcare costs. This is illustrative modelling, not a measured trial outcome; the qualitative direction is well supported by nutrition economics literature, but this paper's specific rupee figures are constructed for the case study, not drawn from a field study of this household.</w:t>
      </w:r>
    </w:p>
    <w:p>
      <w:pPr>
        <w:pStyle w:val="Heading2"/>
        <w:spacing w:after="150" w:before="300"/>
      </w:pPr>
      <w:r>
        <w:rPr>
          <w:rFonts w:ascii="Arial" w:cs="Arial" w:eastAsia="Arial" w:hAnsi="Arial"/>
          <w:b/>
          <w:bCs/>
          <w:color w:val="0A2540"/>
          <w:sz w:val="24"/>
          <w:szCs w:val="24"/>
        </w:rPr>
        <w:t xml:space="preserve">Leakage 3: The Debt Trap (High-Cost Borrowing)</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50"/>
      </w:tblGrid>
      <w:tr>
        <w:trPr>
          <w:tblHeader/>
        </w:trPr>
        <w:tc>
          <w:tcPr>
            <w:tcW w:type="dxa" w:w="3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Metric</w:t>
            </w:r>
          </w:p>
        </w:tc>
        <w:tc>
          <w:tcPr>
            <w:tcW w:type="dxa" w:w="63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Detail</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Principal Owed</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₹10,000</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Interest</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 (5%)</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Annualized Interest</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60% — within the documented 24–150% range for informal Indian lending</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Total Interest Paid (2 years)</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₹12,000 — more than the original principal</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Source of Borrowing</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Emergency medical expense</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The trap is structural, not behavioral: when an urgent need arises — illness, job loss, a school fee deadline — the household has no savings buffer and borrows at the only rate available. The interest payment then consumes whatever monthly surplus might otherwise have become savings, which is precisely why the household cannot escape the debt even while making a locally rational choice at each step.</w:t>
      </w:r>
    </w:p>
    <w:p>
      <w:pPr>
        <w:pStyle w:val="Heading2"/>
        <w:spacing w:after="150" w:before="300"/>
      </w:pPr>
      <w:r>
        <w:rPr>
          <w:rFonts w:ascii="Arial" w:cs="Arial" w:eastAsia="Arial" w:hAnsi="Arial"/>
          <w:b/>
          <w:bCs/>
          <w:color w:val="0A2540"/>
          <w:sz w:val="24"/>
          <w:szCs w:val="24"/>
        </w:rPr>
        <w:t xml:space="preserve">Leakage 4: The Education Quality Trap</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50"/>
      </w:tblGrid>
      <w:tr>
        <w:trPr>
          <w:tblHeader/>
        </w:trPr>
        <w:tc>
          <w:tcPr>
            <w:tcW w:type="dxa" w:w="3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Parameter</w:t>
            </w:r>
          </w:p>
        </w:tc>
        <w:tc>
          <w:tcPr>
            <w:tcW w:type="dxa" w:w="63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Detail</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School Type</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Government school (overcrowded, high student-teacher ratio)</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Education Spend</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₹1,500</w:t>
            </w:r>
          </w:p>
        </w:tc>
      </w:tr>
      <w:tr>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Illustrative Learning Outcome</w:t>
            </w:r>
          </w:p>
        </w:tc>
        <w:tc>
          <w:tcPr>
            <w:tcW w:type="dxa" w:w="63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Child below grade-level reading and math benchmarks</w:t>
            </w:r>
          </w:p>
        </w:tc>
      </w:tr>
      <w:tr>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Actual Return</w:t>
            </w:r>
          </w:p>
        </w:tc>
        <w:tc>
          <w:tcPr>
            <w:tcW w:type="dxa" w:w="63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 despite consistent household investment</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The illustrative household's experience is not an outlier assumption — it tracks a real, precisely measured, nationally representative pattern. India's Annual Status of Education Report (ASER), a citizen-led household survey run since 2005 and reaching roughly 650,000 children across nearly 18,000 villages in its 2024 round, has documented for over fifteen years that even after five years of schooling, roughly half of all Standard V children in rural India still cannot read a Standard II-level text fluently or perform basic arithmetic. In the 2022 round — measured after pandemic-era school closures — only 20.5% of Class 3 children could read a Class 2 textbook, down from 27.5% in 2018. The 2024 round showed genuine recovery, with Class 3 reading rising to 23.4%, the highest level ASER has recorded in its history — encouraging, but still meaning fewer than one in four Class 3 children in rural India can read at the expected level even in the best year on record.</w:t>
      </w:r>
    </w:p>
    <w:p>
      <w:pPr>
        <w:spacing w:after="200" w:line="276"/>
        <w:jc w:val="both"/>
      </w:pPr>
      <w:r>
        <w:rPr>
          <w:rFonts w:ascii="Arial" w:cs="Arial" w:eastAsia="Arial" w:hAnsi="Arial"/>
          <w:b/>
          <w:bCs/>
          <w:color w:val="1A1A1A"/>
          <w:sz w:val="21"/>
          <w:szCs w:val="21"/>
        </w:rPr>
        <w:t xml:space="preserve">Why this matters for the leakage framework: </w:t>
      </w:r>
      <w:r>
        <w:rPr>
          <w:rFonts w:ascii="Arial" w:cs="Arial" w:eastAsia="Arial" w:hAnsi="Arial"/>
          <w:color w:val="1A1A1A"/>
          <w:sz w:val="21"/>
          <w:szCs w:val="21"/>
        </w:rPr>
        <w:t xml:space="preserve">ASER's finding is not that Indian households under-invest in schooling — enrollment has remained consistently high throughout the survey's history. It is that the return on a consistent, correctly-made household investment is being suppressed by a system-level quality failure, exactly as this paper's Leakage 4 argues. The household is not making an error. The measurement confirms the system is.</w:t>
      </w:r>
    </w:p>
    <w:p>
      <w:pPr>
        <w:pStyle w:val="Heading2"/>
        <w:spacing w:after="150" w:before="300"/>
      </w:pPr>
      <w:r>
        <w:rPr>
          <w:rFonts w:ascii="Arial" w:cs="Arial" w:eastAsia="Arial" w:hAnsi="Arial"/>
          <w:b/>
          <w:bCs/>
          <w:color w:val="0A2540"/>
          <w:sz w:val="24"/>
          <w:szCs w:val="24"/>
        </w:rPr>
        <w:t xml:space="preserve">Leakage 5: The Status and Festivity Drain</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2200"/>
        <w:gridCol w:w="2200"/>
        <w:gridCol w:w="255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Occasion</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Illustrative Spend</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Source of Funds</w:t>
            </w:r>
          </w:p>
        </w:tc>
        <w:tc>
          <w:tcPr>
            <w:tcW w:type="dxa" w:w="25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Consequence</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Festival season</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₹3,000–5,000</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 current income</w:t>
            </w:r>
          </w:p>
        </w:tc>
        <w:tc>
          <w:tcPr>
            <w:tcW w:type="dxa" w:w="2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Depletes surplus for roughly two months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Extended-family wedding</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₹2,000–4,000</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w:t>
            </w:r>
          </w:p>
        </w:tc>
        <w:tc>
          <w:tcPr>
            <w:tcW w:type="dxa" w:w="2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Increases interest burden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Community contribution</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₹500–1,000/year</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Direct cash</w:t>
            </w:r>
          </w:p>
        </w:tc>
        <w:tc>
          <w:tcPr>
            <w:tcW w:type="dxa" w:w="2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 financial return</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Small gold purchase</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₹5,000–10,000</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Occasional windfall</w:t>
            </w:r>
          </w:p>
        </w:tc>
        <w:tc>
          <w:tcPr>
            <w:tcW w:type="dxa" w:w="2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Illiquid, high making charge</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Status consumption under these conditions is not frivolity; it is one of the few available ways to purchase dignity and social standing when formal markers of status — credentials, stable employment, property title — are largely unavailable. It systematically converts surplus into non-productive expenditure, but the underlying motive is rational within the household's actual social environment.</w:t>
      </w:r>
    </w:p>
    <w:p>
      <w:pPr>
        <w:pStyle w:val="Heading2"/>
        <w:spacing w:after="150" w:before="300"/>
      </w:pPr>
      <w:r>
        <w:rPr>
          <w:rFonts w:ascii="Arial" w:cs="Arial" w:eastAsia="Arial" w:hAnsi="Arial"/>
          <w:b/>
          <w:bCs/>
          <w:color w:val="0A2540"/>
          <w:sz w:val="24"/>
          <w:szCs w:val="24"/>
        </w:rPr>
        <w:t xml:space="preserve">Leakage 6: The Asset Illiquidity Trap (Gold and Property)</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200"/>
        <w:gridCol w:w="1900"/>
        <w:gridCol w:w="2000"/>
        <w:gridCol w:w="2200"/>
        <w:gridCol w:w="1050"/>
      </w:tblGrid>
      <w:tr>
        <w:trPr>
          <w:tblHeader/>
        </w:trPr>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Asset</w:t>
            </w:r>
          </w:p>
        </w:tc>
        <w:tc>
          <w:tcPr>
            <w:tcW w:type="dxa" w:w="1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Purchase Price</w:t>
            </w:r>
          </w:p>
        </w:tc>
        <w:tc>
          <w:tcPr>
            <w:tcW w:type="dxa" w:w="2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Transaction Cost</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Emergency Resale Value</w:t>
            </w:r>
          </w:p>
        </w:tc>
        <w:tc>
          <w:tcPr>
            <w:tcW w:type="dxa" w:w="10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Economic Function</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Gold Chain</w:t>
            </w:r>
          </w:p>
        </w:tc>
        <w:tc>
          <w:tcPr>
            <w:tcW w:type="dxa" w:w="1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₹8,000</w:t>
            </w:r>
          </w:p>
        </w:tc>
        <w:tc>
          <w:tcPr>
            <w:tcW w:type="dxa" w:w="2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 (₹1,200)</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₹6,500 (emergency pawn)</w:t>
            </w:r>
          </w:p>
        </w:tc>
        <w:tc>
          <w:tcPr>
            <w:tcW w:type="dxa" w:w="10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Wealth preservation, poorly</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Small Land Plot</w:t>
            </w:r>
          </w:p>
        </w:tc>
        <w:tc>
          <w:tcPr>
            <w:tcW w:type="dxa" w:w="1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₹50,000</w:t>
            </w:r>
          </w:p>
        </w:tc>
        <w:tc>
          <w:tcPr>
            <w:tcW w:type="dxa" w:w="2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₹5,000 (registration)</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₹45,000 (distress sale)</w:t>
            </w:r>
          </w:p>
        </w:tc>
        <w:tc>
          <w:tcPr>
            <w:tcW w:type="dxa" w:w="10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Illiquid, no income generation</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The household owns visible assets that signal security, but gold sells at a substantial discount in genuine emergencies, land with unclear title cannot serve as collateral for formal credit, and neither asset produces income. Capital sits locked in zero-yield stores of value while the same household continues renting, servicing high-cost debt, and buying processed food — the opportunity cost of that locked capital is the return it could have earned in productive use.</w:t>
      </w:r>
    </w:p>
    <w:p>
      <w:r>
        <w:br w:type="page"/>
      </w:r>
    </w:p>
    <w:p>
      <w:pPr>
        <w:pStyle w:val="Heading1"/>
        <w:spacing w:after="200" w:before="400"/>
      </w:pPr>
      <w:r>
        <w:rPr>
          <w:rFonts w:ascii="Arial" w:cs="Arial" w:eastAsia="Arial" w:hAnsi="Arial"/>
          <w:b/>
          <w:bCs/>
          <w:color w:val="0A2540"/>
          <w:sz w:val="30"/>
          <w:szCs w:val="30"/>
        </w:rPr>
        <w:t xml:space="preserve">Part IV: The Psychology of Scarcity</w:t>
      </w:r>
    </w:p>
    <w:p>
      <w:pPr>
        <w:spacing w:after="200" w:line="276"/>
        <w:jc w:val="both"/>
      </w:pPr>
      <w:r>
        <w:rPr>
          <w:rFonts w:ascii="Arial" w:cs="Arial" w:eastAsia="Arial" w:hAnsi="Arial"/>
          <w:b w:val="false"/>
          <w:bCs w:val="false"/>
          <w:i w:val="false"/>
          <w:iCs w:val="false"/>
          <w:color w:val="1A1A1A"/>
          <w:sz w:val="21"/>
          <w:szCs w:val="21"/>
        </w:rPr>
        <w:t xml:space="preserve">The household's decisions throughout this case are not irrational. They are adaptive responses to genuine constraints — but adaptiveness under scarcity systematically biases choices against long-term accumulation, a pattern with real, peer-reviewed grounding rather than folk psychology.</w:t>
      </w:r>
    </w:p>
    <w:p>
      <w:pPr>
        <w:pStyle w:val="Heading2"/>
        <w:spacing w:after="150" w:before="300"/>
      </w:pPr>
      <w:r>
        <w:rPr>
          <w:rFonts w:ascii="Arial" w:cs="Arial" w:eastAsia="Arial" w:hAnsi="Arial"/>
          <w:b/>
          <w:bCs/>
          <w:color w:val="0A2540"/>
          <w:sz w:val="24"/>
          <w:szCs w:val="24"/>
        </w:rPr>
        <w:t xml:space="preserve">A. Present Bias and Cognitive Bandwidth</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200"/>
        <w:gridCol w:w="2200"/>
        <w:gridCol w:w="2400"/>
        <w:gridCol w:w="2550"/>
      </w:tblGrid>
      <w:tr>
        <w:trPr>
          <w:tblHeader/>
        </w:trPr>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Scenario</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Cognitive State</w:t>
            </w:r>
          </w:p>
        </w:tc>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Likely Decision</w:t>
            </w:r>
          </w:p>
        </w:tc>
        <w:tc>
          <w:tcPr>
            <w:tcW w:type="dxa" w:w="25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Rationality</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End of a 12-hour shift</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Mental exhaustion, low bandwidth</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Buys quick noodles instead of cooking</w:t>
            </w:r>
          </w:p>
        </w:tc>
        <w:tc>
          <w:tcPr>
            <w:tcW w:type="dxa" w:w="2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Rational: saves scarce time and energy</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Child requests a branded snack</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Emotional connection, advertising recall</w:t>
            </w:r>
          </w:p>
        </w:tc>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Buys the product</w:t>
            </w:r>
          </w:p>
        </w:tc>
        <w:tc>
          <w:tcPr>
            <w:tcW w:type="dxa" w:w="2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Rational: expresses care, meets the child's want</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Festival approaching</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Social pressure, family expectation</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Borrows for the celebration</w:t>
            </w:r>
          </w:p>
        </w:tc>
        <w:tc>
          <w:tcPr>
            <w:tcW w:type="dxa" w:w="25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Rational: maintains social standing</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Sudden illness</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Fear, urgency</w:t>
            </w:r>
          </w:p>
        </w:tc>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Borrows from the moneylender</w:t>
            </w:r>
          </w:p>
        </w:tc>
        <w:tc>
          <w:tcPr>
            <w:tcW w:type="dxa" w:w="25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Rational: immediate need overrides long-term cost</w:t>
            </w:r>
          </w:p>
        </w:tc>
      </w:tr>
    </w:tbl>
    <w:p>
      <w:pPr>
        <w:spacing w:after="200"/>
      </w:pPr>
    </w:p>
    <w:p>
      <w:pPr>
        <w:spacing w:after="200" w:line="276"/>
        <w:jc w:val="both"/>
      </w:pPr>
      <w:r>
        <w:rPr>
          <w:rFonts w:ascii="Arial" w:cs="Arial" w:eastAsia="Arial" w:hAnsi="Arial"/>
          <w:b/>
          <w:bCs/>
          <w:color w:val="1A1A1A"/>
          <w:sz w:val="21"/>
          <w:szCs w:val="21"/>
        </w:rPr>
        <w:t xml:space="preserve">The grounding: </w:t>
      </w:r>
      <w:r>
        <w:rPr>
          <w:rFonts w:ascii="Arial" w:cs="Arial" w:eastAsia="Arial" w:hAnsi="Arial"/>
          <w:color w:val="1A1A1A"/>
          <w:sz w:val="21"/>
          <w:szCs w:val="21"/>
        </w:rPr>
        <w:t xml:space="preserve">Banerjee and Mullainathan's research on limited attention under poverty, and Mullainathan and Shafir's book Scarcity: Why Having Too Little Means So Much, both document that scarcity itself consumes cognitive bandwidth — constant trade-offs under resource constraint measurably degrade the mental resources available for long-term planning. The finding is not that low-income households are less capable of arithmetic; it is that they are making every decision under a cognitive tax the non-poor rarely experience.</w:t>
      </w:r>
    </w:p>
    <w:p>
      <w:pPr>
        <w:pStyle w:val="Heading2"/>
        <w:spacing w:after="150" w:before="300"/>
      </w:pPr>
      <w:r>
        <w:rPr>
          <w:rFonts w:ascii="Arial" w:cs="Arial" w:eastAsia="Arial" w:hAnsi="Arial"/>
          <w:b/>
          <w:bCs/>
          <w:color w:val="0A2540"/>
          <w:sz w:val="24"/>
          <w:szCs w:val="24"/>
        </w:rPr>
        <w:t xml:space="preserve">B. Future Discounting</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1800"/>
        <w:gridCol w:w="3900"/>
        <w:gridCol w:w="3650"/>
      </w:tblGrid>
      <w:tr>
        <w:trPr>
          <w:tblHeader/>
        </w:trPr>
        <w:tc>
          <w:tcPr>
            <w:tcW w:type="dxa" w:w="1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Time Horizon</w:t>
            </w:r>
          </w:p>
        </w:tc>
        <w:tc>
          <w:tcPr>
            <w:tcW w:type="dxa" w:w="3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Higher-Income Household</w:t>
            </w:r>
          </w:p>
        </w:tc>
        <w:tc>
          <w:tcPr>
            <w:tcW w:type="dxa" w:w="36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Illustrative Household</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 month</w:t>
            </w:r>
          </w:p>
        </w:tc>
        <w:tc>
          <w:tcPr>
            <w:tcW w:type="dxa" w:w="3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Plans a monthly budget, invests any surplus</w:t>
            </w:r>
          </w:p>
        </w:tc>
        <w:tc>
          <w:tcPr>
            <w:tcW w:type="dxa" w:w="3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Focused on next week's rent</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 year</w:t>
            </w:r>
          </w:p>
        </w:tc>
        <w:tc>
          <w:tcPr>
            <w:tcW w:type="dxa" w:w="3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Saves toward a goal — travel, a child's education fund</w:t>
            </w:r>
          </w:p>
        </w:tc>
        <w:tc>
          <w:tcPr>
            <w:tcW w:type="dxa" w:w="36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Hopes for a good festival season</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 years</w:t>
            </w:r>
          </w:p>
        </w:tc>
        <w:tc>
          <w:tcPr>
            <w:tcW w:type="dxa" w:w="3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Retirement planning, property appreciation</w:t>
            </w:r>
          </w:p>
        </w:tc>
        <w:tc>
          <w:tcPr>
            <w:tcW w:type="dxa" w:w="3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Planning horizon rarely extends this far</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When tomorrow is genuinely uncertain — will work be available, will the rent rise, will someone fall ill — the present is the only reliable reality available to plan around. Saving for a future that may not arrive in the expected form is not irrational under those conditions; it is a reasonable response to real uncertainty.</w:t>
      </w:r>
    </w:p>
    <w:p>
      <w:pPr>
        <w:pStyle w:val="Heading2"/>
        <w:spacing w:after="150" w:before="300"/>
      </w:pPr>
      <w:r>
        <w:rPr>
          <w:rFonts w:ascii="Arial" w:cs="Arial" w:eastAsia="Arial" w:hAnsi="Arial"/>
          <w:b/>
          <w:bCs/>
          <w:color w:val="0A2540"/>
          <w:sz w:val="24"/>
          <w:szCs w:val="24"/>
        </w:rPr>
        <w:t xml:space="preserve">C. Status Competition (Visible Consumption)</w:t>
      </w:r>
    </w:p>
    <w:p>
      <w:pPr>
        <w:spacing w:after="200" w:line="276"/>
        <w:jc w:val="both"/>
      </w:pPr>
      <w:r>
        <w:rPr>
          <w:rFonts w:ascii="Arial" w:cs="Arial" w:eastAsia="Arial" w:hAnsi="Arial"/>
          <w:b w:val="false"/>
          <w:bCs w:val="false"/>
          <w:i w:val="false"/>
          <w:iCs w:val="false"/>
          <w:color w:val="1A1A1A"/>
          <w:sz w:val="21"/>
          <w:szCs w:val="21"/>
        </w:rPr>
        <w:t xml:space="preserve">Poverty does not eliminate the need for social status; it intensifies the reliance on visible consumption to signal it, precisely because the formal markers available to wealthier households — credentials, stable employment, property titles — are largely unavailable. Wearing gold, owning a mid-range smartphone, and buying branded snacks for children all serve a genuine social function even as they carry a real economic cost in foregone savings.</w:t>
      </w:r>
    </w:p>
    <w:p>
      <w:r>
        <w:br w:type="page"/>
      </w:r>
    </w:p>
    <w:p>
      <w:pPr>
        <w:pStyle w:val="Heading1"/>
        <w:spacing w:after="200" w:before="400"/>
      </w:pPr>
      <w:r>
        <w:rPr>
          <w:rFonts w:ascii="Arial" w:cs="Arial" w:eastAsia="Arial" w:hAnsi="Arial"/>
          <w:b/>
          <w:bCs/>
          <w:color w:val="0A2540"/>
          <w:sz w:val="30"/>
          <w:szCs w:val="30"/>
        </w:rPr>
        <w:t xml:space="preserve">Part V: The Structural Ecosystem</w:t>
      </w:r>
    </w:p>
    <w:p>
      <w:pPr>
        <w:spacing w:after="200" w:line="276"/>
        <w:jc w:val="both"/>
      </w:pPr>
      <w:r>
        <w:rPr>
          <w:rFonts w:ascii="Arial" w:cs="Arial" w:eastAsia="Arial" w:hAnsi="Arial"/>
          <w:b w:val="false"/>
          <w:bCs w:val="false"/>
          <w:i w:val="false"/>
          <w:iCs w:val="false"/>
          <w:color w:val="1A1A1A"/>
          <w:sz w:val="21"/>
          <w:szCs w:val="21"/>
        </w:rPr>
        <w:t xml:space="preserve">Four institutions shape nearly every financial choice available to a household like this one — and each is a rational response to a real market gap, not a villain in the story.</w:t>
      </w:r>
    </w:p>
    <w:p>
      <w:pPr>
        <w:pStyle w:val="Heading3"/>
        <w:spacing w:after="100" w:before="200"/>
      </w:pPr>
      <w:r>
        <w:rPr>
          <w:rFonts w:ascii="Arial" w:cs="Arial" w:eastAsia="Arial" w:hAnsi="Arial"/>
          <w:b/>
          <w:bCs/>
          <w:color w:val="3D6B4F"/>
          <w:sz w:val="22"/>
          <w:szCs w:val="22"/>
        </w:rPr>
        <w:t xml:space="preserve">A. The Kirana Store (Micro-Retail and Informal Credit)</w:t>
      </w:r>
    </w:p>
    <w:p>
      <w:pPr>
        <w:spacing w:after="200" w:line="276"/>
        <w:jc w:val="both"/>
      </w:pPr>
      <w:r>
        <w:rPr>
          <w:rFonts w:ascii="Arial" w:cs="Arial" w:eastAsia="Arial" w:hAnsi="Arial"/>
          <w:b w:val="false"/>
          <w:bCs w:val="false"/>
          <w:i w:val="false"/>
          <w:iCs w:val="false"/>
          <w:color w:val="1A1A1A"/>
          <w:sz w:val="21"/>
          <w:szCs w:val="21"/>
        </w:rPr>
        <w:t xml:space="preserve">The neighborhood store provides small-unit purchasing matched to daily cash flow and often extends informal credit — both genuine services in the absence of formal banking and bulk retail nearby. But the same structure embeds the unit-price tax directly into daily consumption and skews product mix toward higher-margin processed goods.</w:t>
      </w:r>
    </w:p>
    <w:p>
      <w:pPr>
        <w:pStyle w:val="Heading3"/>
        <w:spacing w:after="100" w:before="200"/>
      </w:pPr>
      <w:r>
        <w:rPr>
          <w:rFonts w:ascii="Arial" w:cs="Arial" w:eastAsia="Arial" w:hAnsi="Arial"/>
          <w:b/>
          <w:bCs/>
          <w:color w:val="3D6B4F"/>
          <w:sz w:val="22"/>
          <w:szCs w:val="22"/>
        </w:rPr>
        <w:t xml:space="preserve">B. The Moneylender (Informal Credit)</w:t>
      </w:r>
    </w:p>
    <w:p>
      <w:pPr>
        <w:spacing w:after="200" w:line="276"/>
        <w:jc w:val="both"/>
      </w:pPr>
      <w:r>
        <w:rPr>
          <w:rFonts w:ascii="Arial" w:cs="Arial" w:eastAsia="Arial" w:hAnsi="Arial"/>
          <w:b w:val="false"/>
          <w:bCs w:val="false"/>
          <w:i w:val="false"/>
          <w:iCs w:val="false"/>
          <w:color w:val="1A1A1A"/>
          <w:sz w:val="21"/>
          <w:szCs w:val="21"/>
        </w:rPr>
        <w:t xml:space="preserve">The moneylender is frequently the only credit source genuinely accessible on short notice — immediate, requiring no paperwork, secured by social relationship rather than collateral. The documented cost of that accessibility is a market failure, not a moral one: real interest rates in India's informal credit market span roughly 24% to 150%+ annualized depending on lender type and borrower relationship, high enough that saving becomes structurally difficult even for a household making no discretionary errors.</w:t>
      </w:r>
    </w:p>
    <w:p>
      <w:pPr>
        <w:pStyle w:val="Heading3"/>
        <w:spacing w:after="100" w:before="200"/>
      </w:pPr>
      <w:r>
        <w:rPr>
          <w:rFonts w:ascii="Arial" w:cs="Arial" w:eastAsia="Arial" w:hAnsi="Arial"/>
          <w:b/>
          <w:bCs/>
          <w:color w:val="3D6B4F"/>
          <w:sz w:val="22"/>
          <w:szCs w:val="22"/>
        </w:rPr>
        <w:t xml:space="preserve">C. The Education System</w:t>
      </w:r>
    </w:p>
    <w:p>
      <w:pPr>
        <w:spacing w:after="200" w:line="276"/>
        <w:jc w:val="both"/>
      </w:pPr>
      <w:r>
        <w:rPr>
          <w:rFonts w:ascii="Arial" w:cs="Arial" w:eastAsia="Arial" w:hAnsi="Arial"/>
          <w:b w:val="false"/>
          <w:bCs w:val="false"/>
          <w:i w:val="false"/>
          <w:iCs w:val="false"/>
          <w:color w:val="1A1A1A"/>
          <w:sz w:val="21"/>
          <w:szCs w:val="21"/>
        </w:rPr>
        <w:t xml:space="preserve">Poor teaching quality, hidden costs layered onto nominally free schooling, absent career guidance, and real transport burdens combine to produce low realized returns on an investment the household is making correctly. This is a public goods failure that compounds across generations rather than a signal that education itself is a poor investment.</w:t>
      </w:r>
    </w:p>
    <w:p>
      <w:pPr>
        <w:pStyle w:val="Heading3"/>
        <w:spacing w:after="100" w:before="200"/>
      </w:pPr>
      <w:r>
        <w:rPr>
          <w:rFonts w:ascii="Arial" w:cs="Arial" w:eastAsia="Arial" w:hAnsi="Arial"/>
          <w:b/>
          <w:bCs/>
          <w:color w:val="3D6B4F"/>
          <w:sz w:val="22"/>
          <w:szCs w:val="22"/>
        </w:rPr>
        <w:t xml:space="preserve">D. The Advertising and Marketing Complex</w:t>
      </w:r>
    </w:p>
    <w:p>
      <w:pPr>
        <w:spacing w:after="200" w:line="276"/>
        <w:jc w:val="both"/>
      </w:pPr>
      <w:r>
        <w:rPr>
          <w:rFonts w:ascii="Arial" w:cs="Arial" w:eastAsia="Arial" w:hAnsi="Arial"/>
          <w:b w:val="false"/>
          <w:bCs w:val="false"/>
          <w:i w:val="false"/>
          <w:iCs w:val="false"/>
          <w:color w:val="1A1A1A"/>
          <w:sz w:val="21"/>
          <w:szCs w:val="21"/>
        </w:rPr>
        <w:t xml:space="preserve">Consumer goods marketing aimed at this demographic is not incidental — companies invest heavily in understanding scarcity psychology, and advertising built around convenience, aspiration, and parental care reliably outcompetes messaging built around long-run nutrition or savings. The choices being made are shaped by that marketing environment as much as by household preference alone.</w:t>
      </w:r>
    </w:p>
    <w:p>
      <w:r>
        <w:br w:type="page"/>
      </w:r>
    </w:p>
    <w:p>
      <w:pPr>
        <w:pStyle w:val="Heading1"/>
        <w:spacing w:after="200" w:before="400"/>
      </w:pPr>
      <w:r>
        <w:rPr>
          <w:rFonts w:ascii="Arial" w:cs="Arial" w:eastAsia="Arial" w:hAnsi="Arial"/>
          <w:b/>
          <w:bCs/>
          <w:color w:val="0A2540"/>
          <w:sz w:val="30"/>
          <w:szCs w:val="30"/>
        </w:rPr>
        <w:t xml:space="preserve">Part VI: The Systemic Feedback Loop</w:t>
      </w:r>
    </w:p>
    <w:p>
      <w:pPr>
        <w:spacing w:after="200" w:line="276"/>
        <w:jc w:val="both"/>
      </w:pPr>
      <w:r>
        <w:rPr>
          <w:rFonts w:ascii="Arial" w:cs="Arial" w:eastAsia="Arial" w:hAnsi="Arial"/>
          <w:b w:val="false"/>
          <w:bCs w:val="false"/>
          <w:i w:val="false"/>
          <w:iCs w:val="false"/>
          <w:color w:val="1A1A1A"/>
          <w:sz w:val="21"/>
          <w:szCs w:val="21"/>
        </w:rPr>
        <w:t xml:space="preserve">These structural and psychological forces do not operate independently — they compound into a self-reinforcing cycle. Income arrives; essential costs are paid; consumption leakage and debt servicing absorb what remains; little or no surplus survives into savings; the next emergency forces new borrowing at high cost; increased debt servicing deepens stress and narrows the planning horizon further; and the pattern of leakage repeats from a weaker starting position than before.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3D6B4F" w:sz="24"/>
            </w:tcBorders>
            <w:shd w:fill="F2F2F2" w:val="clear"/>
            <w:tcMar>
              <w:top w:type="dxa" w:w="200"/>
              <w:left w:type="dxa" w:w="240"/>
              <w:bottom w:type="dxa" w:w="200"/>
              <w:right w:type="dxa" w:w="240"/>
            </w:tcMar>
          </w:tcPr>
          <w:p>
            <w:pPr>
              <w:spacing w:after="80"/>
            </w:pPr>
            <w:r>
              <w:rPr>
                <w:rFonts w:ascii="Arial" w:cs="Arial" w:eastAsia="Arial" w:hAnsi="Arial"/>
                <w:b/>
                <w:bCs/>
                <w:color w:val="3D6B4F"/>
                <w:sz w:val="17"/>
                <w:szCs w:val="17"/>
              </w:rPr>
              <w:t xml:space="preserve">The Core Mechanism</w:t>
            </w:r>
          </w:p>
          <w:p>
            <w:pPr>
              <w:jc w:val="both"/>
            </w:pPr>
            <w:r>
              <w:rPr>
                <w:rFonts w:ascii="Arial" w:cs="Arial" w:eastAsia="Arial" w:hAnsi="Arial"/>
                <w:color w:val="1A1A1A"/>
                <w:sz w:val="20"/>
                <w:szCs w:val="20"/>
              </w:rPr>
              <w:t xml:space="preserve">The loop is not a household failing to plan. It is a system in which no single decision point offers an escape, because each leakage point reinforces the conditions that produce the next one — which is why interventions aimed at only one point in the cycle tend to underperform, a pattern examined directly in Part VII.</w:t>
            </w:r>
          </w:p>
        </w:tc>
      </w:tr>
    </w:tbl>
    <w:p>
      <w:r>
        <w:br w:type="page"/>
      </w:r>
    </w:p>
    <w:p>
      <w:pPr>
        <w:pStyle w:val="Heading1"/>
        <w:spacing w:after="200" w:before="400"/>
      </w:pPr>
      <w:r>
        <w:rPr>
          <w:rFonts w:ascii="Arial" w:cs="Arial" w:eastAsia="Arial" w:hAnsi="Arial"/>
          <w:b/>
          <w:bCs/>
          <w:color w:val="0A2540"/>
          <w:sz w:val="30"/>
          <w:szCs w:val="30"/>
        </w:rPr>
        <w:t xml:space="preserve">Part VII: The Counterfactual — Breaking the Loop</w:t>
      </w:r>
    </w:p>
    <w:p>
      <w:pPr>
        <w:pStyle w:val="Heading2"/>
        <w:spacing w:after="150" w:before="300"/>
      </w:pPr>
      <w:r>
        <w:rPr>
          <w:rFonts w:ascii="Arial" w:cs="Arial" w:eastAsia="Arial" w:hAnsi="Arial"/>
          <w:b/>
          <w:bCs/>
          <w:color w:val="0A2540"/>
          <w:sz w:val="24"/>
          <w:szCs w:val="24"/>
        </w:rPr>
        <w:t xml:space="preserve">Scenario A: Behavior-Only Intervention</w:t>
      </w:r>
    </w:p>
    <w:p>
      <w:pPr>
        <w:spacing w:after="200" w:line="276"/>
        <w:jc w:val="both"/>
      </w:pPr>
      <w:r>
        <w:rPr>
          <w:rFonts w:ascii="Arial" w:cs="Arial" w:eastAsia="Arial" w:hAnsi="Arial"/>
          <w:b w:val="false"/>
          <w:bCs w:val="false"/>
          <w:i w:val="false"/>
          <w:iCs w:val="false"/>
          <w:color w:val="1A1A1A"/>
          <w:sz w:val="21"/>
          <w:szCs w:val="21"/>
        </w:rPr>
        <w:t xml:space="preserve">A common first response is financial literacy training alone: advice to avoid processed food, save a fixed amount monthly, avoid festival borrowing, and compare prices more carefully. Illustrative likely outcome: limited and often temporary success, because the underlying constraints — time poverty preventing home cooking, genuine social pressure, absence of a nearby formal savings mechanism, emergencies that still trigger debt regardless of intention, and unchanged school quality — remain fully in place. Behavior change attempted without structural change tends to be fragile.</w:t>
      </w:r>
    </w:p>
    <w:p>
      <w:pPr>
        <w:pStyle w:val="Heading2"/>
        <w:spacing w:after="150" w:before="300"/>
      </w:pPr>
      <w:r>
        <w:rPr>
          <w:rFonts w:ascii="Arial" w:cs="Arial" w:eastAsia="Arial" w:hAnsi="Arial"/>
          <w:b/>
          <w:bCs/>
          <w:color w:val="0A2540"/>
          <w:sz w:val="24"/>
          <w:szCs w:val="24"/>
        </w:rPr>
        <w:t xml:space="preserve">Scenario B: Structural Intervention Paired with Behavioral Nudges</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800"/>
        <w:gridCol w:w="3100"/>
        <w:gridCol w:w="3450"/>
      </w:tblGrid>
      <w:tr>
        <w:trPr>
          <w:tblHeader/>
        </w:trPr>
        <w:tc>
          <w:tcPr>
            <w:tcW w:type="dxa" w:w="2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Intervention</w:t>
            </w:r>
          </w:p>
        </w:tc>
        <w:tc>
          <w:tcPr>
            <w:tcW w:type="dxa" w:w="31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Mechanism</w:t>
            </w:r>
          </w:p>
        </w:tc>
        <w:tc>
          <w:tcPr>
            <w:tcW w:type="dxa" w:w="34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Illustrative Projected Impact</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Subsidized bulk-buying cooperative</w:t>
            </w:r>
          </w:p>
        </w:tc>
        <w:tc>
          <w:tcPr>
            <w:tcW w:type="dxa" w:w="3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Reduces the unit-price tax by roughly 20%</w:t>
            </w:r>
          </w:p>
        </w:tc>
        <w:tc>
          <w:tcPr>
            <w:tcW w:type="dxa" w:w="34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Saves ₹6,000–8,000 annually</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Formal micro-savings with auto-debit</w:t>
            </w:r>
          </w:p>
        </w:tc>
        <w:tc>
          <w:tcPr>
            <w:tcW w:type="dxa" w:w="3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Commitment device, prevents leakage at source</w:t>
            </w:r>
          </w:p>
        </w:tc>
        <w:tc>
          <w:tcPr>
            <w:tcW w:type="dxa" w:w="34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Accumulates ₹6,000–10,000/year</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Nutrition subsidy (eggs, milk)</w:t>
            </w:r>
          </w:p>
        </w:tc>
        <w:tc>
          <w:tcPr>
            <w:tcW w:type="dxa" w:w="3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Displaces processed foods at similar cost</w:t>
            </w:r>
          </w:p>
        </w:tc>
        <w:tc>
          <w:tcPr>
            <w:tcW w:type="dxa" w:w="34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Improved child cognitive development, health</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School quality improvement</w:t>
            </w:r>
          </w:p>
        </w:tc>
        <w:tc>
          <w:tcPr>
            <w:tcW w:type="dxa" w:w="3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Better teaching, vocational linkage</w:t>
            </w:r>
          </w:p>
        </w:tc>
        <w:tc>
          <w:tcPr>
            <w:tcW w:type="dxa" w:w="34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Higher learning outcomes, future employability</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Low-premium health insurance</w:t>
            </w:r>
          </w:p>
        </w:tc>
        <w:tc>
          <w:tcPr>
            <w:tcW w:type="dxa" w:w="3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Removes the medical-emergency debt trigger</w:t>
            </w:r>
          </w:p>
        </w:tc>
        <w:tc>
          <w:tcPr>
            <w:tcW w:type="dxa" w:w="34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Breaks the debt cycle at its most common entry point</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Low-interest productive-asset loan</w:t>
            </w:r>
          </w:p>
        </w:tc>
        <w:tc>
          <w:tcPr>
            <w:tcW w:type="dxa" w:w="3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Displaces moneylender debt</w:t>
            </w:r>
          </w:p>
        </w:tc>
        <w:tc>
          <w:tcPr>
            <w:tcW w:type="dxa" w:w="34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Saves roughly ₹6,000/year in interest</w:t>
            </w:r>
          </w:p>
        </w:tc>
      </w:tr>
    </w:tbl>
    <w:p>
      <w:pPr>
        <w:spacing w:after="200"/>
      </w:pPr>
    </w:p>
    <w:p>
      <w:pPr>
        <w:spacing w:after="200" w:line="276"/>
        <w:jc w:val="both"/>
      </w:pPr>
      <w:r>
        <w:rPr>
          <w:rFonts w:ascii="Arial" w:cs="Arial" w:eastAsia="Arial" w:hAnsi="Arial"/>
          <w:b/>
          <w:bCs/>
          <w:color w:val="1A1A1A"/>
          <w:sz w:val="21"/>
          <w:szCs w:val="21"/>
        </w:rPr>
        <w:t xml:space="preserve">Illustrative five-year outcome under the structural-intervention scenario: </w:t>
      </w:r>
      <w:r>
        <w:rPr>
          <w:rFonts w:ascii="Arial" w:cs="Arial" w:eastAsia="Arial" w:hAnsi="Arial"/>
          <w:color w:val="1A1A1A"/>
          <w:sz w:val="21"/>
          <w:szCs w:val="21"/>
        </w:rPr>
        <w:t xml:space="preserve">annual leakage falling from an illustrative ₹18,000 to roughly ₹6,000 (a 67% reduction), savings accumulating to ₹30,000–50,000 from a starting point of zero, existing debt fully repaid, and children's learning outcomes moving from meaningfully behind grade level toward grade-appropriate — all modelled projections built for this case study, not measured results from a real program evaluation.</w:t>
      </w:r>
    </w:p>
    <w:p>
      <w:r>
        <w:br w:type="page"/>
      </w:r>
    </w:p>
    <w:p>
      <w:pPr>
        <w:pStyle w:val="Heading1"/>
        <w:spacing w:after="200" w:before="400"/>
      </w:pPr>
      <w:r>
        <w:rPr>
          <w:rFonts w:ascii="Arial" w:cs="Arial" w:eastAsia="Arial" w:hAnsi="Arial"/>
          <w:b/>
          <w:bCs/>
          <w:color w:val="0A2540"/>
          <w:sz w:val="30"/>
          <w:szCs w:val="30"/>
        </w:rPr>
        <w:t xml:space="preserve">What Real-World Interventions Have Actually Shown</w:t>
      </w:r>
    </w:p>
    <w:p>
      <w:pPr>
        <w:spacing w:after="200" w:line="276"/>
        <w:jc w:val="both"/>
      </w:pPr>
      <w:r>
        <w:rPr>
          <w:rFonts w:ascii="Arial" w:cs="Arial" w:eastAsia="Arial" w:hAnsi="Arial"/>
          <w:b w:val="false"/>
          <w:bCs w:val="false"/>
          <w:i w:val="false"/>
          <w:iCs w:val="false"/>
          <w:color w:val="1A1A1A"/>
          <w:sz w:val="21"/>
          <w:szCs w:val="21"/>
        </w:rPr>
        <w:t xml:space="preserve">The counterfactual above is a modelled projection built for this case study. It is worth pausing before Part VIII to ask a harder question: has anyone actually run these interventions in the real world, and measured what happened rather than modelled it? The answer is yes, at very large scale, and the honest picture is more nuanced than either the pessimism of Scenario A or the optimism of Scenario B alone.</w:t>
      </w:r>
    </w:p>
    <w:p>
      <w:pPr>
        <w:pStyle w:val="Heading2"/>
        <w:spacing w:after="150" w:before="300"/>
      </w:pPr>
      <w:r>
        <w:rPr>
          <w:rFonts w:ascii="Arial" w:cs="Arial" w:eastAsia="Arial" w:hAnsi="Arial"/>
          <w:b/>
          <w:bCs/>
          <w:color w:val="0A2540"/>
          <w:sz w:val="24"/>
          <w:szCs w:val="24"/>
        </w:rPr>
        <w:t xml:space="preserve">The Randomized-Trial Evidence Base</w:t>
      </w:r>
    </w:p>
    <w:p>
      <w:pPr>
        <w:spacing w:after="200" w:line="276"/>
        <w:jc w:val="both"/>
      </w:pPr>
      <w:r>
        <w:rPr>
          <w:rFonts w:ascii="Arial" w:cs="Arial" w:eastAsia="Arial" w:hAnsi="Arial"/>
          <w:b w:val="false"/>
          <w:bCs w:val="false"/>
          <w:i w:val="false"/>
          <w:iCs w:val="false"/>
          <w:color w:val="1A1A1A"/>
          <w:sz w:val="21"/>
          <w:szCs w:val="21"/>
        </w:rPr>
        <w:t xml:space="preserve">Abhijit Banerjee and Esther Duflo, whose research on limited attention under poverty grounds Part IV of this paper, spent roughly fifteen years running field experiments across Chile, India, Kenya, and Indonesia through the Abdul Latif Jameel Poverty Action Lab (J-PAL), which they co-founded in 2003. J-PAL's own tally as of 2023: more than 1,600 randomized controlled trials across over 80 countries, informing policies that have reached an estimated 600 million people. The methodology, in Duflo's own framing, treats anti-poverty interventions the way medical researchers treat a drug candidate — testing rigorously rather than assuming an intervention works because it sounds reasonable. Banerjee and Duflo, together with Michael Kremer, received the 2019 Nobel Memorial Prize in Economic Sciences for this body of work.</w:t>
      </w:r>
    </w:p>
    <w:p>
      <w:pPr>
        <w:spacing w:after="200" w:line="276"/>
        <w:jc w:val="both"/>
      </w:pPr>
      <w:r>
        <w:rPr>
          <w:rFonts w:ascii="Arial" w:cs="Arial" w:eastAsia="Arial" w:hAnsi="Arial"/>
          <w:b w:val="false"/>
          <w:bCs w:val="false"/>
          <w:i w:val="false"/>
          <w:iCs w:val="false"/>
          <w:color w:val="1A1A1A"/>
          <w:sz w:val="21"/>
          <w:szCs w:val="21"/>
        </w:rPr>
        <w:t xml:space="preserve">The finding most relevant to this paper's own honesty is an uncomfortable one for anyone hoping for a single silver-bullet intervention: their research explicitly found that microfinance, long treated as a near-universal poverty solution, is not a cure-all. Access to credit helps some households in some circumstances and does little for others — a finding that argues directly against Part VII's implicit suggestion that any one structural intervention, deployed alone, reliably breaks the cycle. The stronger, more consistent finding across their trials is that combinations of interventions — addressing savings frictions, health risk, and information gaps together — outperform any single lever pulled in isolation, which is the same logic behind this paper's own Scenario B being a bundle rather than a single fix.</w:t>
      </w:r>
    </w:p>
    <w:p>
      <w:pPr>
        <w:pStyle w:val="Heading2"/>
        <w:spacing w:after="150" w:before="300"/>
      </w:pPr>
      <w:r>
        <w:rPr>
          <w:rFonts w:ascii="Arial" w:cs="Arial" w:eastAsia="Arial" w:hAnsi="Arial"/>
          <w:b/>
          <w:bCs/>
          <w:color w:val="0A2540"/>
          <w:sz w:val="24"/>
          <w:szCs w:val="24"/>
        </w:rPr>
        <w:t xml:space="preserve">A Real, Running Case Study: India's Own Financial Inclusion Program</w:t>
      </w:r>
    </w:p>
    <w:p>
      <w:pPr>
        <w:spacing w:after="200" w:line="276"/>
        <w:jc w:val="both"/>
      </w:pPr>
      <w:r>
        <w:rPr>
          <w:rFonts w:ascii="Arial" w:cs="Arial" w:eastAsia="Arial" w:hAnsi="Arial"/>
          <w:b w:val="false"/>
          <w:bCs w:val="false"/>
          <w:i w:val="false"/>
          <w:iCs w:val="false"/>
          <w:color w:val="1A1A1A"/>
          <w:sz w:val="21"/>
          <w:szCs w:val="21"/>
        </w:rPr>
        <w:t xml:space="preserve">Part VII's “formal micro-savings with auto-debit” intervention is not a hypothetical policy suggestion. India has been running a version of it at national scale since 2014, and the results are measured, not modelled.</w:t>
      </w:r>
    </w:p>
    <w:p>
      <w:pPr>
        <w:spacing w:after="200" w:line="276"/>
        <w:jc w:val="both"/>
      </w:pPr>
      <w:r>
        <w:rPr>
          <w:rFonts w:ascii="Arial" w:cs="Arial" w:eastAsia="Arial" w:hAnsi="Arial"/>
          <w:b w:val="false"/>
          <w:bCs w:val="false"/>
          <w:i w:val="false"/>
          <w:iCs w:val="false"/>
          <w:color w:val="1A1A1A"/>
          <w:sz w:val="21"/>
          <w:szCs w:val="21"/>
        </w:rPr>
        <w:t xml:space="preserve">The Pradhan Mantri Jan Dhan Yojana (PMJDY), launched August 28, 2014, set out to give every unbanked Indian adult a zero-minimum-balance bank account. By August 2026, the program had opened 59.09 crore — roughly 590.9 million — accounts, up from 14.72 crore in 2015: a fourfold expansion in just over a decade, still the largest financial inclusion initiative of its kind in the world and formally recognized by the IMF, the World Bank, and Guinness World Records for the pace of account opening. Roughly 55–56% of accounts belong to women and 67% were opened in rural or semi-urban areas — precisely the demographic this paper's illustrative household represents.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3D6B4F" w:sz="24"/>
            </w:tcBorders>
            <w:shd w:fill="F2F2F2" w:val="clear"/>
            <w:tcMar>
              <w:top w:type="dxa" w:w="200"/>
              <w:left w:type="dxa" w:w="240"/>
              <w:bottom w:type="dxa" w:w="200"/>
              <w:right w:type="dxa" w:w="240"/>
            </w:tcMar>
          </w:tcPr>
          <w:p>
            <w:pPr>
              <w:spacing w:after="80"/>
            </w:pPr>
            <w:r>
              <w:rPr>
                <w:rFonts w:ascii="Arial" w:cs="Arial" w:eastAsia="Arial" w:hAnsi="Arial"/>
                <w:b/>
                <w:bCs/>
                <w:color w:val="3D6B4F"/>
                <w:sz w:val="17"/>
                <w:szCs w:val="17"/>
              </w:rPr>
              <w:t xml:space="preserve">The Number That Matters Most</w:t>
            </w:r>
          </w:p>
          <w:p>
            <w:pPr>
              <w:jc w:val="both"/>
            </w:pPr>
            <w:r>
              <w:rPr>
                <w:rFonts w:ascii="Arial" w:cs="Arial" w:eastAsia="Arial" w:hAnsi="Arial"/>
                <w:color w:val="1A1A1A"/>
                <w:sz w:val="20"/>
                <w:szCs w:val="20"/>
              </w:rPr>
              <w:t xml:space="preserve">Opening an account is not the same as using it — which is exactly the gap this paper's Scenario A warns about. The number that actually confirms the program moved beyond box-ticking is the zero-balance rate: accounts with nothing in them fell from as high as 58–77% at launch to just 8% by 2023, and India's broader Financial Inclusion Index rose from 53.9 in 2018 to 67 in 2026. That is the difference between a formal savings mechanism that exists on paper and one people are actually using.</w:t>
            </w:r>
          </w:p>
        </w:tc>
      </w:tr>
    </w:tbl>
    <w:p>
      <w:pPr>
        <w:spacing w:after="200"/>
      </w:pPr>
    </w:p>
    <w:p>
      <w:pPr>
        <w:spacing w:after="200" w:line="276"/>
        <w:jc w:val="both"/>
      </w:pPr>
      <w:r>
        <w:rPr>
          <w:rFonts w:ascii="Arial" w:cs="Arial" w:eastAsia="Arial" w:hAnsi="Arial"/>
          <w:b/>
          <w:bCs/>
          <w:color w:val="1A1A1A"/>
          <w:sz w:val="21"/>
          <w:szCs w:val="21"/>
        </w:rPr>
        <w:t xml:space="preserve">The honest caveat: </w:t>
      </w:r>
      <w:r>
        <w:rPr>
          <w:rFonts w:ascii="Arial" w:cs="Arial" w:eastAsia="Arial" w:hAnsi="Arial"/>
          <w:color w:val="1A1A1A"/>
          <w:sz w:val="21"/>
          <w:szCs w:val="21"/>
        </w:rPr>
        <w:t xml:space="preserve">a MicroSave field study of the program's implementation found genuine last-mile delivery problems — banking correspondents earning insufficient income to sustain the work, and gaps in training, supervision, and infrastructure that limited the scheme's reach in exactly the peri-urban and rural contexts this paper's household represents. The program's scale and direction are real and measured; so are its implementation gaps. Both are worth knowing before treating any single structural intervention, including this one, as a solved problem rather than a genuine but imperfect step.</w:t>
      </w:r>
    </w:p>
    <w:p>
      <w:pPr>
        <w:pStyle w:val="Heading2"/>
        <w:spacing w:after="150" w:before="300"/>
      </w:pPr>
      <w:r>
        <w:rPr>
          <w:rFonts w:ascii="Arial" w:cs="Arial" w:eastAsia="Arial" w:hAnsi="Arial"/>
          <w:b/>
          <w:bCs/>
          <w:color w:val="0A2540"/>
          <w:sz w:val="24"/>
          <w:szCs w:val="24"/>
        </w:rPr>
        <w:t xml:space="preserve">A Second Real Case Study: Conditional Cash Transfers</w:t>
      </w:r>
    </w:p>
    <w:p>
      <w:pPr>
        <w:spacing w:after="200" w:line="276"/>
        <w:jc w:val="both"/>
      </w:pPr>
      <w:r>
        <w:rPr>
          <w:rFonts w:ascii="Arial" w:cs="Arial" w:eastAsia="Arial" w:hAnsi="Arial"/>
          <w:b w:val="false"/>
          <w:bCs w:val="false"/>
          <w:i w:val="false"/>
          <w:iCs w:val="false"/>
          <w:color w:val="1A1A1A"/>
          <w:sz w:val="21"/>
          <w:szCs w:val="21"/>
        </w:rPr>
        <w:t xml:space="preserve">This paper's Scenario B bundles a health-insurance intervention with the savings and nutrition interventions. The world's largest real-world test of that kind of bundling is Brazil's Bolsa Família program — cash transferred to poor families conditional on school attendance and health-post visits, benefiting over 14.6 million families as of 2021 and widely studied since its 2004 launch.</w:t>
      </w:r>
    </w:p>
    <w:p>
      <w:pPr>
        <w:spacing w:after="200" w:line="276"/>
        <w:jc w:val="both"/>
      </w:pPr>
      <w:r>
        <w:rPr>
          <w:rFonts w:ascii="Arial" w:cs="Arial" w:eastAsia="Arial" w:hAnsi="Arial"/>
          <w:b w:val="false"/>
          <w:bCs w:val="false"/>
          <w:i w:val="false"/>
          <w:iCs w:val="false"/>
          <w:color w:val="1A1A1A"/>
          <w:sz w:val="21"/>
          <w:szCs w:val="21"/>
        </w:rPr>
        <w:t xml:space="preserve">The documented health effects are genuinely strong and specific, not vague: nationwide cohort research has linked Bolsa Família to measurably reduced child and infant mortality, with the effect strongest for exactly the poverty-linked causes this paper's own nutrition and health sections describe — diarrhea and malnutrition. A separate national analysis found a reduction in extreme preterm births specifically among beneficiary mothers (odds ratio 0.69), an effect that grew stronger in municipalities where the program was better administered — itself an echo of this paper's own emphasis on implementation quality, not just policy design, as the thing that actually determines outcomes.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3D6B4F" w:sz="24"/>
            </w:tcBorders>
            <w:shd w:fill="F2F2F2" w:val="clear"/>
            <w:tcMar>
              <w:top w:type="dxa" w:w="200"/>
              <w:left w:type="dxa" w:w="240"/>
              <w:bottom w:type="dxa" w:w="200"/>
              <w:right w:type="dxa" w:w="240"/>
            </w:tcMar>
          </w:tcPr>
          <w:p>
            <w:pPr>
              <w:spacing w:after="80"/>
            </w:pPr>
            <w:r>
              <w:rPr>
                <w:rFonts w:ascii="Arial" w:cs="Arial" w:eastAsia="Arial" w:hAnsi="Arial"/>
                <w:b/>
                <w:bCs/>
                <w:color w:val="3D6B4F"/>
                <w:sz w:val="17"/>
                <w:szCs w:val="17"/>
              </w:rPr>
              <w:t xml:space="preserve">The Honest Limitation</w:t>
            </w:r>
          </w:p>
          <w:p>
            <w:pPr>
              <w:jc w:val="both"/>
            </w:pPr>
            <w:r>
              <w:rPr>
                <w:rFonts w:ascii="Arial" w:cs="Arial" w:eastAsia="Arial" w:hAnsi="Arial"/>
                <w:color w:val="1A1A1A"/>
                <w:sz w:val="20"/>
                <w:szCs w:val="20"/>
              </w:rPr>
              <w:t xml:space="preserve">Not every measured outcome was positive, and this paper would be less credible for hiding that. An early evaluation of Bolsa Escola, Bolsa Família's direct predecessor, found it successfully pulled roughly 60% of poor, out-of-school 10–15-year-olds into school — a strong behavioral response — but reduced the overall poverty rate by only about one percentage point, with inequality (Gini) falling barely half a point. A separate health-outcomes review found no significant improvement in general health status or health-habit modification among beneficiaries. Cash transfers conditioned on the right behaviors reliably change those specific behaviors. They do not, on their own and at real-world implementation quality, close the broader poverty gap this paper describes — which is precisely why Scenario B bundles multiple interventions rather than proposing any single one, including a cash transfer, as sufficient alone.</w:t>
            </w:r>
          </w:p>
        </w:tc>
      </w:tr>
    </w:tbl>
    <w:p>
      <w:pPr>
        <w:pStyle w:val="Heading2"/>
        <w:spacing w:after="150" w:before="300"/>
      </w:pPr>
      <w:r>
        <w:rPr>
          <w:rFonts w:ascii="Arial" w:cs="Arial" w:eastAsia="Arial" w:hAnsi="Arial"/>
          <w:b/>
          <w:bCs/>
          <w:color w:val="0A2540"/>
          <w:sz w:val="24"/>
          <w:szCs w:val="24"/>
        </w:rPr>
        <w:t xml:space="preserve">A Third Real Case Study: Reforming the Unit-Price Tax Itself</w:t>
      </w:r>
    </w:p>
    <w:p>
      <w:pPr>
        <w:spacing w:after="200" w:line="276"/>
        <w:jc w:val="both"/>
      </w:pPr>
      <w:r>
        <w:rPr>
          <w:rFonts w:ascii="Arial" w:cs="Arial" w:eastAsia="Arial" w:hAnsi="Arial"/>
          <w:b w:val="false"/>
          <w:bCs w:val="false"/>
          <w:i w:val="false"/>
          <w:iCs w:val="false"/>
          <w:color w:val="1A1A1A"/>
          <w:sz w:val="21"/>
          <w:szCs w:val="21"/>
        </w:rPr>
        <w:t xml:space="preserve">Part IX's first policy recommendation — subsidized bulk staples through public distribution — is not speculative either. India's own Public Distribution System (PDS), the channel through which the country distributes subsidized food grain, has been the subject of a genuine, large-scale, technology-driven reform effort over the past decade, and the results are a model of exactly the nuance this paper tries to hold throughout.</w:t>
      </w:r>
    </w:p>
    <w:p>
      <w:pPr>
        <w:spacing w:after="200" w:line="276"/>
        <w:jc w:val="both"/>
      </w:pPr>
      <w:r>
        <w:rPr>
          <w:rFonts w:ascii="Arial" w:cs="Arial" w:eastAsia="Arial" w:hAnsi="Arial"/>
          <w:b w:val="false"/>
          <w:bCs w:val="false"/>
          <w:i w:val="false"/>
          <w:iCs w:val="false"/>
          <w:color w:val="1A1A1A"/>
          <w:sz w:val="21"/>
          <w:szCs w:val="21"/>
        </w:rPr>
        <w:t xml:space="preserve">Nationally, PDS grain leakage — the share of subsidized grain that never reaches its intended recipient — fell from roughly 42% in 2011–12 to approximately 22% by 2022–23, according to Household Consumption Expenditure Survey-based analysis. Individual reforming states show far larger swings: Bihar's leakage fell from 68.7% to 19.2% over the same period; West Bengal's fell from 69.4% to just 9%. These are not modelled projections — they are measured before-and-after national survey figures, at a scale exactly matching this paper's Leakage 1 argument about the unit-price tax's origins in distribution failure.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3D6B4F" w:sz="24"/>
            </w:tcBorders>
            <w:shd w:fill="F2F2F2" w:val="clear"/>
            <w:tcMar>
              <w:top w:type="dxa" w:w="200"/>
              <w:left w:type="dxa" w:w="240"/>
              <w:bottom w:type="dxa" w:w="200"/>
              <w:right w:type="dxa" w:w="240"/>
            </w:tcMar>
          </w:tcPr>
          <w:p>
            <w:pPr>
              <w:spacing w:after="80"/>
            </w:pPr>
            <w:r>
              <w:rPr>
                <w:rFonts w:ascii="Arial" w:cs="Arial" w:eastAsia="Arial" w:hAnsi="Arial"/>
                <w:b/>
                <w:bCs/>
                <w:color w:val="3D6B4F"/>
                <w:sz w:val="17"/>
                <w:szCs w:val="17"/>
              </w:rPr>
              <w:t xml:space="preserve">The Complication Worth Keeping</w:t>
            </w:r>
          </w:p>
          <w:p>
            <w:pPr>
              <w:jc w:val="both"/>
            </w:pPr>
            <w:r>
              <w:rPr>
                <w:rFonts w:ascii="Arial" w:cs="Arial" w:eastAsia="Arial" w:hAnsi="Arial"/>
                <w:color w:val="1A1A1A"/>
                <w:sz w:val="20"/>
                <w:szCs w:val="20"/>
              </w:rPr>
              <w:t xml:space="preserve">Tamil Nadu, one of India's traditionally best-performing PDS states, saw its own leakage rise from 12% to 25% over the identical period — a reminder that reform gains are not permanent once achieved, and that even well-run systems can quietly decay. A separate rigorous evaluation comparing villages with and without Aadhaar-based biometric authentication found nearly identical purchase-entitlement ratios between the two (93% versus 94%), suggesting that digitization, transparency measures, and administrative accountability — not the biometric technology itself — did most of the real work in the states that improved. The same research documented a genuine tradeoff: leakage went down, but authentication failures also excluded some genuine beneficiaries who lacked reliable Aadhaar linkage. A policy that reduces leakage by tightening authentication can simultaneously and measurably harm some of the people it was built to help — exactly the kind of second-order effect a paper built on illustrative modelling alone would have no way to surface.</w:t>
            </w:r>
          </w:p>
        </w:tc>
      </w:tr>
    </w:tbl>
    <w:p>
      <w:r>
        <w:br w:type="page"/>
      </w:r>
    </w:p>
    <w:p>
      <w:pPr>
        <w:pStyle w:val="Heading1"/>
        <w:spacing w:after="200" w:before="400"/>
      </w:pPr>
      <w:r>
        <w:rPr>
          <w:rFonts w:ascii="Arial" w:cs="Arial" w:eastAsia="Arial" w:hAnsi="Arial"/>
          <w:b/>
          <w:bCs/>
          <w:color w:val="0A2540"/>
          <w:sz w:val="30"/>
          <w:szCs w:val="30"/>
        </w:rPr>
        <w:t xml:space="preserve">Part VIII: NextGenEconomics Framework — A New Poverty Metric</w:t>
      </w:r>
    </w:p>
    <w:p>
      <w:pPr>
        <w:pStyle w:val="Heading2"/>
        <w:spacing w:after="150" w:before="300"/>
      </w:pPr>
      <w:r>
        <w:rPr>
          <w:rFonts w:ascii="Arial" w:cs="Arial" w:eastAsia="Arial" w:hAnsi="Arial"/>
          <w:b/>
          <w:bCs/>
          <w:color w:val="0A2540"/>
          <w:sz w:val="24"/>
          <w:szCs w:val="24"/>
        </w:rPr>
        <w:t xml:space="preserve">The Problem with Current Metrics</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2600"/>
        <w:gridCol w:w="3300"/>
        <w:gridCol w:w="3450"/>
      </w:tblGrid>
      <w:tr>
        <w:trPr>
          <w:tblHeader/>
        </w:trPr>
        <w:tc>
          <w:tcPr>
            <w:tcW w:type="dxa" w:w="2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Metric</w:t>
            </w:r>
          </w:p>
        </w:tc>
        <w:tc>
          <w:tcPr>
            <w:tcW w:type="dxa" w:w="33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What It Measures</w:t>
            </w:r>
          </w:p>
        </w:tc>
        <w:tc>
          <w:tcPr>
            <w:tcW w:type="dxa" w:w="34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What It Misses</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Income</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Flow of money</w:t>
            </w:r>
          </w:p>
        </w:tc>
        <w:tc>
          <w:tcPr>
            <w:tcW w:type="dxa" w:w="34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Volatility, leakage, cost-of-living variation</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Poverty Line</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Absolute threshold</w:t>
            </w:r>
          </w:p>
        </w:tc>
        <w:tc>
          <w:tcPr>
            <w:tcW w:type="dxa" w:w="34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Quality of consumption, asset accumulation</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Gini Coefficient</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Inequality across households</w:t>
            </w:r>
          </w:p>
        </w:tc>
        <w:tc>
          <w:tcPr>
            <w:tcW w:type="dxa" w:w="34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Internal household dynamics</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HDI (Health/Education/Income)</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Outcomes</w:t>
            </w:r>
          </w:p>
        </w:tc>
        <w:tc>
          <w:tcPr>
            <w:tcW w:type="dxa" w:w="34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Choice architecture, structural forces</w:t>
            </w:r>
          </w:p>
        </w:tc>
      </w:tr>
    </w:tbl>
    <w:p>
      <w:pPr>
        <w:spacing w:after="200"/>
      </w:pPr>
    </w:p>
    <w:p>
      <w:pPr>
        <w:pStyle w:val="Heading2"/>
        <w:spacing w:after="150" w:before="300"/>
      </w:pPr>
      <w:r>
        <w:rPr>
          <w:rFonts w:ascii="Arial" w:cs="Arial" w:eastAsia="Arial" w:hAnsi="Arial"/>
          <w:b/>
          <w:bCs/>
          <w:color w:val="0A2540"/>
          <w:sz w:val="24"/>
          <w:szCs w:val="24"/>
        </w:rPr>
        <w:t xml:space="preserve">The NextGenEconomics Index (NGEI) — An Original Proposal</w:t>
      </w:r>
    </w:p>
    <w:p>
      <w:pPr>
        <w:spacing w:after="200" w:line="276"/>
        <w:jc w:val="both"/>
      </w:pPr>
      <w:r>
        <w:rPr>
          <w:rFonts w:ascii="Arial" w:cs="Arial" w:eastAsia="Arial" w:hAnsi="Arial"/>
          <w:b w:val="false"/>
          <w:bCs w:val="false"/>
          <w:i w:val="false"/>
          <w:iCs w:val="false"/>
          <w:color w:val="1A1A1A"/>
          <w:sz w:val="21"/>
          <w:szCs w:val="21"/>
        </w:rPr>
        <w:t xml:space="preserve">This paper proposes a composite metric intended to capture the journey of money through a household, not merely its arrival: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3D6B4F" w:sz="24"/>
            </w:tcBorders>
            <w:shd w:fill="F2F2F2" w:val="clear"/>
            <w:tcMar>
              <w:top w:type="dxa" w:w="200"/>
              <w:left w:type="dxa" w:w="240"/>
              <w:bottom w:type="dxa" w:w="200"/>
              <w:right w:type="dxa" w:w="240"/>
            </w:tcMar>
          </w:tcPr>
          <w:p>
            <w:pPr>
              <w:spacing w:after="80"/>
            </w:pPr>
            <w:r>
              <w:rPr>
                <w:rFonts w:ascii="Arial" w:cs="Arial" w:eastAsia="Arial" w:hAnsi="Arial"/>
                <w:b/>
                <w:bCs/>
                <w:color w:val="3D6B4F"/>
                <w:sz w:val="17"/>
                <w:szCs w:val="17"/>
              </w:rPr>
              <w:t xml:space="preserve">NGEI Formula</w:t>
            </w:r>
          </w:p>
          <w:p>
            <w:pPr>
              <w:jc w:val="both"/>
            </w:pPr>
            <w:r>
              <w:rPr>
                <w:rFonts w:ascii="Arial" w:cs="Arial" w:eastAsia="Arial" w:hAnsi="Arial"/>
                <w:color w:val="1A1A1A"/>
                <w:sz w:val="20"/>
                <w:szCs w:val="20"/>
              </w:rPr>
              <w:t xml:space="preserve">NGEI = (Surplus × Asset Productivity) / (Essential Cost Burden + Leakage Rate) — where Surplus is income minus essential costs; Asset Productivity is the share of surplus converted into income-generating assets; Essential Cost Burden is the share of income consumed by non-discretionary costs; and Leakage Rate is the share of income lost to the unit-price tax, debt interest, processed-food premium, and status expenditure.</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Applied to the illustrative Sharma household in its current state: Surplus ₹1,000/month, Asset Productivity 0% (all surplus consumed or leaked), Essential Cost Burden 60%, Leakage Rate 15% — yielding an NGEI of (1,000 × 0) / (0.60 + 0.15) = 0. Applied to the same household under the structural-intervention scenario: Surplus ₹4,000/month, Asset Productivity 30%, Essential Cost Burden 50%, Leakage Rate 5% — yielding an NGEI of (4,000 × 0.30) / (0.50 + 0.05) = 2,182, read as positive mobility. This worked example demonstrates the metric's mechanics using this paper's own illustrative figures; it is not a validated measurement against real survey data, and NGE welcomes empirical testing of the formula against real household panels.</w:t>
      </w:r>
    </w:p>
    <w:p>
      <w:r>
        <w:br w:type="page"/>
      </w:r>
    </w:p>
    <w:p>
      <w:pPr>
        <w:pStyle w:val="Heading1"/>
        <w:spacing w:after="200" w:before="400"/>
      </w:pPr>
      <w:r>
        <w:rPr>
          <w:rFonts w:ascii="Arial" w:cs="Arial" w:eastAsia="Arial" w:hAnsi="Arial"/>
          <w:b/>
          <w:bCs/>
          <w:color w:val="0A2540"/>
          <w:sz w:val="30"/>
          <w:szCs w:val="30"/>
        </w:rPr>
        <w:t xml:space="preserve">Part IX: Policy Implications — Redesigning the Choice Architecture</w:t>
      </w:r>
    </w:p>
    <w:p>
      <w:pPr>
        <w:pStyle w:val="Heading3"/>
        <w:spacing w:after="100" w:before="200"/>
      </w:pPr>
      <w:r>
        <w:rPr>
          <w:rFonts w:ascii="Arial" w:cs="Arial" w:eastAsia="Arial" w:hAnsi="Arial"/>
          <w:b/>
          <w:bCs/>
          <w:color w:val="3D6B4F"/>
          <w:sz w:val="22"/>
          <w:szCs w:val="22"/>
        </w:rPr>
        <w:t xml:space="preserve">1. Reduce the Unit-Price Tax</w:t>
      </w:r>
    </w:p>
    <w:p>
      <w:pPr>
        <w:pStyle w:val="ListParagraph"/>
        <w:numPr>
          <w:ilvl w:val="0"/>
          <w:numId w:val="1"/>
        </w:numPr>
        <w:spacing w:after="120" w:line="276"/>
      </w:pPr>
      <w:r>
        <w:rPr>
          <w:rFonts w:ascii="Arial" w:cs="Arial" w:eastAsia="Arial" w:hAnsi="Arial"/>
          <w:color w:val="1A1A1A"/>
          <w:sz w:val="21"/>
          <w:szCs w:val="21"/>
        </w:rPr>
        <w:t xml:space="preserve">Public distribution systems offering bulk staples at subsidized rates in low-income neighborhoods.</w:t>
      </w:r>
    </w:p>
    <w:p>
      <w:pPr>
        <w:pStyle w:val="ListParagraph"/>
        <w:numPr>
          <w:ilvl w:val="0"/>
          <w:numId w:val="1"/>
        </w:numPr>
        <w:spacing w:after="120" w:line="276"/>
      </w:pPr>
      <w:r>
        <w:rPr>
          <w:rFonts w:ascii="Arial" w:cs="Arial" w:eastAsia="Arial" w:hAnsi="Arial"/>
          <w:color w:val="1A1A1A"/>
          <w:sz w:val="21"/>
          <w:szCs w:val="21"/>
        </w:rPr>
        <w:t xml:space="preserve">Regulatory limits on predatory per-unit pricing premiums for small packaging.</w:t>
      </w:r>
    </w:p>
    <w:p>
      <w:pPr>
        <w:pStyle w:val="ListParagraph"/>
        <w:numPr>
          <w:ilvl w:val="0"/>
          <w:numId w:val="1"/>
        </w:numPr>
        <w:spacing w:after="120" w:line="276"/>
      </w:pPr>
      <w:r>
        <w:rPr>
          <w:rFonts w:ascii="Arial" w:cs="Arial" w:eastAsia="Arial" w:hAnsi="Arial"/>
          <w:color w:val="1A1A1A"/>
          <w:sz w:val="21"/>
          <w:szCs w:val="21"/>
        </w:rPr>
        <w:t xml:space="preserve">Incentives for cooperative bulk-buying models at the neighborhood level.</w:t>
      </w:r>
    </w:p>
    <w:p>
      <w:pPr>
        <w:pStyle w:val="Heading3"/>
        <w:spacing w:after="100" w:before="200"/>
      </w:pPr>
      <w:r>
        <w:rPr>
          <w:rFonts w:ascii="Arial" w:cs="Arial" w:eastAsia="Arial" w:hAnsi="Arial"/>
          <w:b/>
          <w:bCs/>
          <w:color w:val="3D6B4F"/>
          <w:sz w:val="22"/>
          <w:szCs w:val="22"/>
        </w:rPr>
        <w:t xml:space="preserve">2. De-Addict the Debt Cycle</w:t>
      </w:r>
    </w:p>
    <w:p>
      <w:pPr>
        <w:pStyle w:val="ListParagraph"/>
        <w:numPr>
          <w:ilvl w:val="0"/>
          <w:numId w:val="1"/>
        </w:numPr>
        <w:spacing w:after="120" w:line="276"/>
      </w:pPr>
      <w:r>
        <w:rPr>
          <w:rFonts w:ascii="Arial" w:cs="Arial" w:eastAsia="Arial" w:hAnsi="Arial"/>
          <w:color w:val="1A1A1A"/>
          <w:sz w:val="21"/>
          <w:szCs w:val="21"/>
        </w:rPr>
        <w:t xml:space="preserve">Expand formal microfinance with meaningful interest-rate caps.</w:t>
      </w:r>
    </w:p>
    <w:p>
      <w:pPr>
        <w:pStyle w:val="ListParagraph"/>
        <w:numPr>
          <w:ilvl w:val="0"/>
          <w:numId w:val="1"/>
        </w:numPr>
        <w:spacing w:after="120" w:line="276"/>
      </w:pPr>
      <w:r>
        <w:rPr>
          <w:rFonts w:ascii="Arial" w:cs="Arial" w:eastAsia="Arial" w:hAnsi="Arial"/>
          <w:color w:val="1A1A1A"/>
          <w:sz w:val="21"/>
          <w:szCs w:val="21"/>
        </w:rPr>
        <w:t xml:space="preserve">Provide low-premium emergency health insurance to remove the most common debt trigger.</w:t>
      </w:r>
    </w:p>
    <w:p>
      <w:pPr>
        <w:pStyle w:val="ListParagraph"/>
        <w:numPr>
          <w:ilvl w:val="0"/>
          <w:numId w:val="1"/>
        </w:numPr>
        <w:spacing w:after="120" w:line="276"/>
      </w:pPr>
      <w:r>
        <w:rPr>
          <w:rFonts w:ascii="Arial" w:cs="Arial" w:eastAsia="Arial" w:hAnsi="Arial"/>
          <w:color w:val="1A1A1A"/>
          <w:sz w:val="21"/>
          <w:szCs w:val="21"/>
        </w:rPr>
        <w:t xml:space="preserve">Link debt restructuring programs directly to financial counseling.</w:t>
      </w:r>
    </w:p>
    <w:p>
      <w:pPr>
        <w:pStyle w:val="Heading3"/>
        <w:spacing w:after="100" w:before="200"/>
      </w:pPr>
      <w:r>
        <w:rPr>
          <w:rFonts w:ascii="Arial" w:cs="Arial" w:eastAsia="Arial" w:hAnsi="Arial"/>
          <w:b/>
          <w:bCs/>
          <w:color w:val="3D6B4F"/>
          <w:sz w:val="22"/>
          <w:szCs w:val="22"/>
        </w:rPr>
        <w:t xml:space="preserve">3. Shift the Consumption Basket</w:t>
      </w:r>
    </w:p>
    <w:p>
      <w:pPr>
        <w:pStyle w:val="ListParagraph"/>
        <w:numPr>
          <w:ilvl w:val="0"/>
          <w:numId w:val="1"/>
        </w:numPr>
        <w:spacing w:after="120" w:line="276"/>
      </w:pPr>
      <w:r>
        <w:rPr>
          <w:rFonts w:ascii="Arial" w:cs="Arial" w:eastAsia="Arial" w:hAnsi="Arial"/>
          <w:color w:val="1A1A1A"/>
          <w:sz w:val="21"/>
          <w:szCs w:val="21"/>
        </w:rPr>
        <w:t xml:space="preserve">Subsidize nutrient-dense staples (eggs, milk, vegetables) while taxing ultra-processed and sugary products.</w:t>
      </w:r>
    </w:p>
    <w:p>
      <w:pPr>
        <w:pStyle w:val="ListParagraph"/>
        <w:numPr>
          <w:ilvl w:val="0"/>
          <w:numId w:val="1"/>
        </w:numPr>
        <w:spacing w:after="120" w:line="276"/>
      </w:pPr>
      <w:r>
        <w:rPr>
          <w:rFonts w:ascii="Arial" w:cs="Arial" w:eastAsia="Arial" w:hAnsi="Arial"/>
          <w:color w:val="1A1A1A"/>
          <w:sz w:val="21"/>
          <w:szCs w:val="21"/>
        </w:rPr>
        <w:t xml:space="preserve">Mandate clear, local-language front-of-pack nutrition labeling.</w:t>
      </w:r>
    </w:p>
    <w:p>
      <w:pPr>
        <w:pStyle w:val="ListParagraph"/>
        <w:numPr>
          <w:ilvl w:val="0"/>
          <w:numId w:val="1"/>
        </w:numPr>
        <w:spacing w:after="120" w:line="276"/>
      </w:pPr>
      <w:r>
        <w:rPr>
          <w:rFonts w:ascii="Arial" w:cs="Arial" w:eastAsia="Arial" w:hAnsi="Arial"/>
          <w:color w:val="1A1A1A"/>
          <w:sz w:val="21"/>
          <w:szCs w:val="21"/>
        </w:rPr>
        <w:t xml:space="preserve">Public health messaging designed to compete directly with existing food marketing.</w:t>
      </w:r>
    </w:p>
    <w:p>
      <w:pPr>
        <w:pStyle w:val="Heading3"/>
        <w:spacing w:after="100" w:before="200"/>
      </w:pPr>
      <w:r>
        <w:rPr>
          <w:rFonts w:ascii="Arial" w:cs="Arial" w:eastAsia="Arial" w:hAnsi="Arial"/>
          <w:b/>
          <w:bCs/>
          <w:color w:val="3D6B4F"/>
          <w:sz w:val="22"/>
          <w:szCs w:val="22"/>
        </w:rPr>
        <w:t xml:space="preserve">4. Make Education Actually Pay</w:t>
      </w:r>
    </w:p>
    <w:p>
      <w:pPr>
        <w:pStyle w:val="ListParagraph"/>
        <w:numPr>
          <w:ilvl w:val="0"/>
          <w:numId w:val="1"/>
        </w:numPr>
        <w:spacing w:after="120" w:line="276"/>
      </w:pPr>
      <w:r>
        <w:rPr>
          <w:rFonts w:ascii="Arial" w:cs="Arial" w:eastAsia="Arial" w:hAnsi="Arial"/>
          <w:color w:val="1A1A1A"/>
          <w:sz w:val="21"/>
          <w:szCs w:val="21"/>
        </w:rPr>
        <w:t xml:space="preserve">Tie school funding partly to measured learning outcomes, not enrollment alone.</w:t>
      </w:r>
    </w:p>
    <w:p>
      <w:pPr>
        <w:pStyle w:val="ListParagraph"/>
        <w:numPr>
          <w:ilvl w:val="0"/>
          <w:numId w:val="1"/>
        </w:numPr>
        <w:spacing w:after="120" w:line="276"/>
      </w:pPr>
      <w:r>
        <w:rPr>
          <w:rFonts w:ascii="Arial" w:cs="Arial" w:eastAsia="Arial" w:hAnsi="Arial"/>
          <w:color w:val="1A1A1A"/>
          <w:sz w:val="21"/>
          <w:szCs w:val="21"/>
        </w:rPr>
        <w:t xml:space="preserve">Introduce vocational training tracks from the middle-school years onward.</w:t>
      </w:r>
    </w:p>
    <w:p>
      <w:pPr>
        <w:pStyle w:val="ListParagraph"/>
        <w:numPr>
          <w:ilvl w:val="0"/>
          <w:numId w:val="1"/>
        </w:numPr>
        <w:spacing w:after="120" w:line="276"/>
      </w:pPr>
      <w:r>
        <w:rPr>
          <w:rFonts w:ascii="Arial" w:cs="Arial" w:eastAsia="Arial" w:hAnsi="Arial"/>
          <w:color w:val="1A1A1A"/>
          <w:sz w:val="21"/>
          <w:szCs w:val="21"/>
        </w:rPr>
        <w:t xml:space="preserve">Publish transparent, mobile-accessible school quality rankings.</w:t>
      </w:r>
    </w:p>
    <w:p>
      <w:pPr>
        <w:pStyle w:val="Heading3"/>
        <w:spacing w:after="100" w:before="200"/>
      </w:pPr>
      <w:r>
        <w:rPr>
          <w:rFonts w:ascii="Arial" w:cs="Arial" w:eastAsia="Arial" w:hAnsi="Arial"/>
          <w:b/>
          <w:bCs/>
          <w:color w:val="3D6B4F"/>
          <w:sz w:val="22"/>
          <w:szCs w:val="22"/>
        </w:rPr>
        <w:t xml:space="preserve">5. Make Savings Effortless</w:t>
      </w:r>
    </w:p>
    <w:p>
      <w:pPr>
        <w:pStyle w:val="ListParagraph"/>
        <w:numPr>
          <w:ilvl w:val="0"/>
          <w:numId w:val="1"/>
        </w:numPr>
        <w:spacing w:after="120" w:line="276"/>
      </w:pPr>
      <w:r>
        <w:rPr>
          <w:rFonts w:ascii="Arial" w:cs="Arial" w:eastAsia="Arial" w:hAnsi="Arial"/>
          <w:color w:val="1A1A1A"/>
          <w:sz w:val="21"/>
          <w:szCs w:val="21"/>
        </w:rPr>
        <w:t xml:space="preserve">Default savings accounts with automatic payday deduction.</w:t>
      </w:r>
    </w:p>
    <w:p>
      <w:pPr>
        <w:pStyle w:val="ListParagraph"/>
        <w:numPr>
          <w:ilvl w:val="0"/>
          <w:numId w:val="1"/>
        </w:numPr>
        <w:spacing w:after="120" w:line="276"/>
      </w:pPr>
      <w:r>
        <w:rPr>
          <w:rFonts w:ascii="Arial" w:cs="Arial" w:eastAsia="Arial" w:hAnsi="Arial"/>
          <w:color w:val="1A1A1A"/>
          <w:sz w:val="21"/>
          <w:szCs w:val="21"/>
        </w:rPr>
        <w:t xml:space="preserve">Matching contributions for low-income savers.</w:t>
      </w:r>
    </w:p>
    <w:p>
      <w:pPr>
        <w:pStyle w:val="ListParagraph"/>
        <w:numPr>
          <w:ilvl w:val="0"/>
          <w:numId w:val="1"/>
        </w:numPr>
        <w:spacing w:after="120" w:line="276"/>
      </w:pPr>
      <w:r>
        <w:rPr>
          <w:rFonts w:ascii="Arial" w:cs="Arial" w:eastAsia="Arial" w:hAnsi="Arial"/>
          <w:color w:val="1A1A1A"/>
          <w:sz w:val="21"/>
          <w:szCs w:val="21"/>
        </w:rPr>
        <w:t xml:space="preserve">Digitize payments to reduce cash-based leakage.</w:t>
      </w:r>
    </w:p>
    <w:p>
      <w:pPr>
        <w:spacing w:after="200" w:line="276"/>
        <w:jc w:val="both"/>
      </w:pPr>
      <w:r>
        <w:rPr>
          <w:rFonts w:ascii="Arial" w:cs="Arial" w:eastAsia="Arial" w:hAnsi="Arial"/>
          <w:b w:val="false"/>
          <w:bCs w:val="false"/>
          <w:i w:val="false"/>
          <w:iCs w:val="false"/>
          <w:color w:val="1A1A1A"/>
          <w:sz w:val="21"/>
          <w:szCs w:val="21"/>
        </w:rPr>
        <w:t xml:space="preserve">This is not a hypothetical recommendation — the Jan Dhan Yojana case study in the evidence section above shows India already running a version of it at a scale of nearly 591 million accounts, with a measured, not modelled, drop in zero-balance accounts from as high as 77% to 8%. The remaining policy work is less about proving the mechanism and more about closing the last-mile delivery gaps that study identified.</w:t>
      </w:r>
    </w:p>
    <w:p>
      <w:pPr>
        <w:pStyle w:val="Heading3"/>
        <w:spacing w:after="100" w:before="200"/>
      </w:pPr>
      <w:r>
        <w:rPr>
          <w:rFonts w:ascii="Arial" w:cs="Arial" w:eastAsia="Arial" w:hAnsi="Arial"/>
          <w:b/>
          <w:bCs/>
          <w:color w:val="3D6B4F"/>
          <w:sz w:val="22"/>
          <w:szCs w:val="22"/>
        </w:rPr>
        <w:t xml:space="preserve">6. Transform Status Signals</w:t>
      </w:r>
    </w:p>
    <w:p>
      <w:pPr>
        <w:pStyle w:val="ListParagraph"/>
        <w:numPr>
          <w:ilvl w:val="0"/>
          <w:numId w:val="1"/>
        </w:numPr>
        <w:spacing w:after="120" w:line="276"/>
      </w:pPr>
      <w:r>
        <w:rPr>
          <w:rFonts w:ascii="Arial" w:cs="Arial" w:eastAsia="Arial" w:hAnsi="Arial"/>
          <w:color w:val="1A1A1A"/>
          <w:sz w:val="21"/>
          <w:szCs w:val="21"/>
        </w:rPr>
        <w:t xml:space="preserve">Public recognition structures for skill acquisition, entrepreneurship, and savings discipline.</w:t>
      </w:r>
    </w:p>
    <w:p>
      <w:pPr>
        <w:pStyle w:val="ListParagraph"/>
        <w:numPr>
          <w:ilvl w:val="0"/>
          <w:numId w:val="1"/>
        </w:numPr>
        <w:spacing w:after="120" w:line="276"/>
      </w:pPr>
      <w:r>
        <w:rPr>
          <w:rFonts w:ascii="Arial" w:cs="Arial" w:eastAsia="Arial" w:hAnsi="Arial"/>
          <w:color w:val="1A1A1A"/>
          <w:sz w:val="21"/>
          <w:szCs w:val="21"/>
        </w:rPr>
        <w:t xml:space="preserve">Community-based certifications that confer dignity without requiring consumption.</w:t>
      </w:r>
    </w:p>
    <w:p>
      <w:pPr>
        <w:pStyle w:val="Heading3"/>
        <w:spacing w:after="100" w:before="200"/>
      </w:pPr>
      <w:r>
        <w:rPr>
          <w:rFonts w:ascii="Arial" w:cs="Arial" w:eastAsia="Arial" w:hAnsi="Arial"/>
          <w:b/>
          <w:bCs/>
          <w:color w:val="3D6B4F"/>
          <w:sz w:val="22"/>
          <w:szCs w:val="22"/>
        </w:rPr>
        <w:t xml:space="preserve">7. Regulate Marketing to Low-Income Households</w:t>
      </w:r>
    </w:p>
    <w:p>
      <w:pPr>
        <w:pStyle w:val="ListParagraph"/>
        <w:numPr>
          <w:ilvl w:val="0"/>
          <w:numId w:val="1"/>
        </w:numPr>
        <w:spacing w:after="120" w:line="276"/>
      </w:pPr>
      <w:r>
        <w:rPr>
          <w:rFonts w:ascii="Arial" w:cs="Arial" w:eastAsia="Arial" w:hAnsi="Arial"/>
          <w:color w:val="1A1A1A"/>
          <w:sz w:val="21"/>
          <w:szCs w:val="21"/>
        </w:rPr>
        <w:t xml:space="preserve">Restrict targeted advertising of ultra-processed food and sugary drinks to low-income demographics.</w:t>
      </w:r>
    </w:p>
    <w:p>
      <w:pPr>
        <w:pStyle w:val="ListParagraph"/>
        <w:numPr>
          <w:ilvl w:val="0"/>
          <w:numId w:val="1"/>
        </w:numPr>
        <w:spacing w:after="120" w:line="276"/>
      </w:pPr>
      <w:r>
        <w:rPr>
          <w:rFonts w:ascii="Arial" w:cs="Arial" w:eastAsia="Arial" w:hAnsi="Arial"/>
          <w:color w:val="1A1A1A"/>
          <w:sz w:val="21"/>
          <w:szCs w:val="21"/>
        </w:rPr>
        <w:t xml:space="preserve">Limit exploitative “buy now, pay later” structures that specifically leverage present bias.</w:t>
      </w:r>
    </w:p>
    <w:p>
      <w:r>
        <w:br w:type="page"/>
      </w:r>
    </w:p>
    <w:p>
      <w:pPr>
        <w:pStyle w:val="Heading1"/>
        <w:spacing w:after="200" w:before="400"/>
      </w:pPr>
      <w:r>
        <w:rPr>
          <w:rFonts w:ascii="Arial" w:cs="Arial" w:eastAsia="Arial" w:hAnsi="Arial"/>
          <w:b/>
          <w:bCs/>
          <w:color w:val="0A2540"/>
          <w:sz w:val="30"/>
          <w:szCs w:val="30"/>
        </w:rPr>
        <w:t xml:space="preserve">Part X: Conclusion — The Poverty of Trajectories</w:t>
      </w:r>
    </w:p>
    <w:p>
      <w:pPr>
        <w:spacing w:after="200" w:line="276"/>
        <w:jc w:val="both"/>
      </w:pPr>
      <w:r>
        <w:rPr>
          <w:rFonts w:ascii="Arial" w:cs="Arial" w:eastAsia="Arial" w:hAnsi="Arial"/>
          <w:b w:val="false"/>
          <w:bCs w:val="false"/>
          <w:i w:val="false"/>
          <w:iCs w:val="false"/>
          <w:color w:val="1A1A1A"/>
          <w:sz w:val="21"/>
          <w:szCs w:val="21"/>
        </w:rPr>
        <w:t xml:space="preserve">The household in this case study is not poor because of laziness, ignorance, or impulsiveness. It is poor because it operates within a system that systematically drains limited resources through price premiums on small purchases, debt servicing at documented exploitative rates, marketing that targets genuine aspirations and anxieties, public goods failures in education and health, social expectations that demand visible consumption, and cognitive depletion that makes long-term planning measurably harder — a burden the research literature confirms is real, not a household-specific failing.</w:t>
      </w:r>
    </w:p>
    <w:p>
      <w:pPr>
        <w:spacing w:after="200" w:line="276"/>
        <w:jc w:val="both"/>
      </w:pPr>
      <w:r>
        <w:rPr>
          <w:rFonts w:ascii="Arial" w:cs="Arial" w:eastAsia="Arial" w:hAnsi="Arial"/>
          <w:b/>
          <w:bCs/>
          <w:color w:val="1A1A1A"/>
          <w:sz w:val="21"/>
          <w:szCs w:val="21"/>
        </w:rPr>
        <w:t xml:space="preserve">The core argument: </w:t>
      </w:r>
      <w:r>
        <w:rPr>
          <w:rFonts w:ascii="Arial" w:cs="Arial" w:eastAsia="Arial" w:hAnsi="Arial"/>
          <w:color w:val="1A1A1A"/>
          <w:sz w:val="21"/>
          <w:szCs w:val="21"/>
        </w:rPr>
        <w:t xml:space="preserve">poverty is not only a static condition of low income. It is better understood as a dynamic condition of capital leakage. A household becomes poor when its surplus repeatedly fails to convert into productive assets; a household escapes poverty when that surplus flows consistently into human capital, liquid savings, and income-generating capital instead.</w:t>
      </w:r>
    </w:p>
    <w:p>
      <w:pPr>
        <w:spacing w:after="200" w:line="276"/>
        <w:jc w:val="both"/>
      </w:pPr>
      <w:r>
        <w:rPr>
          <w:rFonts w:ascii="Arial" w:cs="Arial" w:eastAsia="Arial" w:hAnsi="Arial"/>
          <w:b w:val="false"/>
          <w:bCs w:val="false"/>
          <w:i w:val="false"/>
          <w:iCs w:val="false"/>
          <w:color w:val="1A1A1A"/>
          <w:sz w:val="21"/>
          <w:szCs w:val="21"/>
        </w:rPr>
        <w:t xml:space="preserve">The policy implication that follows is not “tell low-income households to make better choices.” It is to redesign the choice architecture so that the easiest, most attractive, and most socially rewarded choice is also the one that builds the future — making nutritious food cheaper than processed food, formal credit cheaper than informal debt, quality schools more accessible than failing ones, savings automatic rather than effortful, and productive assets genuinely visible and aspirational. When the system changes, the trajectory changes.</w:t>
      </w:r>
    </w:p>
    <w:p>
      <w:r>
        <w:br w:type="page"/>
      </w:r>
    </w:p>
    <w:p>
      <w:pPr>
        <w:pStyle w:val="Heading1"/>
        <w:spacing w:after="200" w:before="400"/>
      </w:pPr>
      <w:r>
        <w:rPr>
          <w:rFonts w:ascii="Arial" w:cs="Arial" w:eastAsia="Arial" w:hAnsi="Arial"/>
          <w:b/>
          <w:bCs/>
          <w:color w:val="0A2540"/>
          <w:sz w:val="30"/>
          <w:szCs w:val="30"/>
        </w:rPr>
        <w:t xml:space="preserve">Appendix: Illustrative Summary Metrics</w:t>
      </w:r>
    </w:p>
    <w:tbl>
      <w:tblPr>
        <w:tblW w:type="dxa" w:w="935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3150"/>
        <w:gridCol w:w="3000"/>
      </w:tblGrid>
      <w:tr>
        <w:trPr>
          <w:tblHeader/>
        </w:trPr>
        <w:tc>
          <w:tcPr>
            <w:tcW w:type="dxa" w:w="3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Metric</w:t>
            </w:r>
          </w:p>
        </w:tc>
        <w:tc>
          <w:tcPr>
            <w:tcW w:type="dxa" w:w="31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Current (Illustrative)</w:t>
            </w:r>
          </w:p>
        </w:tc>
        <w:tc>
          <w:tcPr>
            <w:tcW w:type="dxa" w:w="30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Intervention Scenario (Illustrative)</w:t>
            </w:r>
          </w:p>
        </w:tc>
      </w:tr>
      <w:tr>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Income</w:t>
            </w:r>
          </w:p>
        </w:tc>
        <w:tc>
          <w:tcPr>
            <w:tcW w:type="dxa" w:w="31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₹14,000</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₹16,000 (skill upgrade)</w:t>
            </w:r>
          </w:p>
        </w:tc>
      </w:tr>
      <w:tr>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Essential Costs</w:t>
            </w:r>
          </w:p>
        </w:tc>
        <w:tc>
          <w:tcPr>
            <w:tcW w:type="dxa" w:w="31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₹8,500</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₹8,500</w:t>
            </w:r>
          </w:p>
        </w:tc>
      </w:tr>
      <w:tr>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Surplus</w:t>
            </w:r>
          </w:p>
        </w:tc>
        <w:tc>
          <w:tcPr>
            <w:tcW w:type="dxa" w:w="31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₹5,500</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₹7,500</w:t>
            </w:r>
          </w:p>
        </w:tc>
      </w:tr>
      <w:tr>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Monthly Leakage</w:t>
            </w:r>
          </w:p>
        </w:tc>
        <w:tc>
          <w:tcPr>
            <w:tcW w:type="dxa" w:w="31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₹4,500</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₹1,500</w:t>
            </w:r>
          </w:p>
        </w:tc>
      </w:tr>
      <w:tr>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Effective Surplus</w:t>
            </w:r>
          </w:p>
        </w:tc>
        <w:tc>
          <w:tcPr>
            <w:tcW w:type="dxa" w:w="31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₹1,000</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₹6,000</w:t>
            </w:r>
          </w:p>
        </w:tc>
      </w:tr>
      <w:tr>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Annual Savings</w:t>
            </w:r>
          </w:p>
        </w:tc>
        <w:tc>
          <w:tcPr>
            <w:tcW w:type="dxa" w:w="31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₹0</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₹72,000</w:t>
            </w:r>
          </w:p>
        </w:tc>
      </w:tr>
      <w:tr>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Status</w:t>
            </w:r>
          </w:p>
        </w:tc>
        <w:tc>
          <w:tcPr>
            <w:tcW w:type="dxa" w:w="31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₹10,000+</w:t>
            </w:r>
          </w:p>
        </w:tc>
        <w:tc>
          <w:tcPr>
            <w:tcW w:type="dxa" w:w="30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₹0</w:t>
            </w:r>
          </w:p>
        </w:tc>
      </w:tr>
      <w:tr>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Productive Assets</w:t>
            </w:r>
          </w:p>
        </w:tc>
        <w:tc>
          <w:tcPr>
            <w:tcW w:type="dxa" w:w="31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None</w:t>
            </w:r>
          </w:p>
        </w:tc>
        <w:tc>
          <w:tcPr>
            <w:tcW w:type="dxa" w:w="30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Small business/tools</w:t>
            </w:r>
          </w:p>
        </w:tc>
      </w:tr>
    </w:tbl>
    <w:p>
      <w:r>
        <w:br w:type="page"/>
      </w:r>
    </w:p>
    <w:p>
      <w:pPr>
        <w:pStyle w:val="Heading1"/>
        <w:spacing w:after="200" w:before="400"/>
      </w:pPr>
      <w:r>
        <w:rPr>
          <w:rFonts w:ascii="Arial" w:cs="Arial" w:eastAsia="Arial" w:hAnsi="Arial"/>
          <w:b/>
          <w:bCs/>
          <w:color w:val="0A2540"/>
          <w:sz w:val="30"/>
          <w:szCs w:val="30"/>
        </w:rPr>
        <w:t xml:space="preserve">References</w:t>
      </w:r>
    </w:p>
    <w:p>
      <w:pPr>
        <w:spacing w:after="140" w:line="264"/>
        <w:ind w:left="360" w:hanging="360"/>
      </w:pPr>
      <w:r>
        <w:rPr>
          <w:rFonts w:ascii="Arial" w:cs="Arial" w:eastAsia="Arial" w:hAnsi="Arial"/>
          <w:color w:val="1A1A1A"/>
          <w:sz w:val="20"/>
          <w:szCs w:val="20"/>
        </w:rPr>
        <w:t xml:space="preserve">1. </w:t>
      </w:r>
      <w:r>
        <w:rPr>
          <w:rFonts w:ascii="Arial" w:cs="Arial" w:eastAsia="Arial" w:hAnsi="Arial"/>
          <w:color w:val="1A1A1A"/>
          <w:sz w:val="20"/>
          <w:szCs w:val="20"/>
        </w:rPr>
        <w:t xml:space="preserve">Caplovitz, D. (1967). The Poor Pay More. Free Press — the foundational study establishing the poverty premium as a documented economic phenomenon.</w:t>
      </w:r>
    </w:p>
    <w:p>
      <w:pPr>
        <w:spacing w:after="140" w:line="264"/>
        <w:ind w:left="360" w:hanging="360"/>
      </w:pPr>
      <w:r>
        <w:rPr>
          <w:rFonts w:ascii="Arial" w:cs="Arial" w:eastAsia="Arial" w:hAnsi="Arial"/>
          <w:color w:val="1A1A1A"/>
          <w:sz w:val="20"/>
          <w:szCs w:val="20"/>
        </w:rPr>
        <w:t xml:space="preserve">2. </w:t>
      </w:r>
      <w:r>
        <w:rPr>
          <w:rFonts w:ascii="Arial" w:cs="Arial" w:eastAsia="Arial" w:hAnsi="Arial"/>
          <w:color w:val="1A1A1A"/>
          <w:sz w:val="20"/>
          <w:szCs w:val="20"/>
        </w:rPr>
        <w:t xml:space="preserve">Davies, S., Finney, A., &amp;amp; Hartfree, Y. (2016). Paying to Be Poor: Uncovering the Scale and Nature of the Poverty Premium. University of Bristol, Personal Finance Research Centre.</w:t>
      </w:r>
    </w:p>
    <w:p>
      <w:pPr>
        <w:spacing w:after="140" w:line="264"/>
        <w:ind w:left="360" w:hanging="360"/>
      </w:pPr>
      <w:r>
        <w:rPr>
          <w:rFonts w:ascii="Arial" w:cs="Arial" w:eastAsia="Arial" w:hAnsi="Arial"/>
          <w:color w:val="1A1A1A"/>
          <w:sz w:val="20"/>
          <w:szCs w:val="20"/>
        </w:rPr>
        <w:t xml:space="preserve">3. </w:t>
      </w:r>
      <w:r>
        <w:rPr>
          <w:rFonts w:ascii="Arial" w:cs="Arial" w:eastAsia="Arial" w:hAnsi="Arial"/>
          <w:color w:val="1A1A1A"/>
          <w:sz w:val="20"/>
          <w:szCs w:val="20"/>
        </w:rPr>
        <w:t xml:space="preserve">Richards, D. (2015), cited in Davies et al. (2016) — on the relationship between bulk-buy access and private transport.</w:t>
      </w:r>
    </w:p>
    <w:p>
      <w:pPr>
        <w:spacing w:after="140" w:line="264"/>
        <w:ind w:left="360" w:hanging="360"/>
      </w:pPr>
      <w:r>
        <w:rPr>
          <w:rFonts w:ascii="Arial" w:cs="Arial" w:eastAsia="Arial" w:hAnsi="Arial"/>
          <w:color w:val="1A1A1A"/>
          <w:sz w:val="20"/>
          <w:szCs w:val="20"/>
        </w:rPr>
        <w:t xml:space="preserve">4. </w:t>
      </w:r>
      <w:r>
        <w:rPr>
          <w:rFonts w:ascii="Arial" w:cs="Arial" w:eastAsia="Arial" w:hAnsi="Arial"/>
          <w:color w:val="1A1A1A"/>
          <w:sz w:val="20"/>
          <w:szCs w:val="20"/>
        </w:rPr>
        <w:t xml:space="preserve">Save the Children (2010); Kempson, E., &amp;amp; Collard, S. (2005); McBride, M., &amp;amp; Purcell, R. (2014); Toynbee Hall (2014) — cited collectively on geography-linked insurance premiums as a poverty premium component.</w:t>
      </w:r>
    </w:p>
    <w:p>
      <w:pPr>
        <w:spacing w:after="140" w:line="264"/>
        <w:ind w:left="360" w:hanging="360"/>
      </w:pPr>
      <w:r>
        <w:rPr>
          <w:rFonts w:ascii="Arial" w:cs="Arial" w:eastAsia="Arial" w:hAnsi="Arial"/>
          <w:color w:val="1A1A1A"/>
          <w:sz w:val="20"/>
          <w:szCs w:val="20"/>
        </w:rPr>
        <w:t xml:space="preserve">5. </w:t>
      </w:r>
      <w:r>
        <w:rPr>
          <w:rFonts w:ascii="Arial" w:cs="Arial" w:eastAsia="Arial" w:hAnsi="Arial"/>
          <w:color w:val="1A1A1A"/>
          <w:sz w:val="20"/>
          <w:szCs w:val="20"/>
        </w:rPr>
        <w:t xml:space="preserve">Banerjee, A., &amp;amp; Mullainathan, S. (2008). Limited Attention and Income Distribution. American Economic Review, 98(2), 489–493.</w:t>
      </w:r>
    </w:p>
    <w:p>
      <w:pPr>
        <w:spacing w:after="140" w:line="264"/>
        <w:ind w:left="360" w:hanging="360"/>
      </w:pPr>
      <w:r>
        <w:rPr>
          <w:rFonts w:ascii="Arial" w:cs="Arial" w:eastAsia="Arial" w:hAnsi="Arial"/>
          <w:color w:val="1A1A1A"/>
          <w:sz w:val="20"/>
          <w:szCs w:val="20"/>
        </w:rPr>
        <w:t xml:space="preserve">6. </w:t>
      </w:r>
      <w:r>
        <w:rPr>
          <w:rFonts w:ascii="Arial" w:cs="Arial" w:eastAsia="Arial" w:hAnsi="Arial"/>
          <w:color w:val="1A1A1A"/>
          <w:sz w:val="20"/>
          <w:szCs w:val="20"/>
        </w:rPr>
        <w:t xml:space="preserve">Mullainathan, S., &amp;amp; Shafir, E. (2013). Scarcity: Why Having Too Little Means So Much. Times Books.</w:t>
      </w:r>
    </w:p>
    <w:p>
      <w:pPr>
        <w:spacing w:after="140" w:line="264"/>
        <w:ind w:left="360" w:hanging="360"/>
      </w:pPr>
      <w:r>
        <w:rPr>
          <w:rFonts w:ascii="Arial" w:cs="Arial" w:eastAsia="Arial" w:hAnsi="Arial"/>
          <w:color w:val="1A1A1A"/>
          <w:sz w:val="20"/>
          <w:szCs w:val="20"/>
        </w:rPr>
        <w:t xml:space="preserve">7. </w:t>
      </w:r>
      <w:r>
        <w:rPr>
          <w:rFonts w:ascii="Arial" w:cs="Arial" w:eastAsia="Arial" w:hAnsi="Arial"/>
          <w:color w:val="1A1A1A"/>
          <w:sz w:val="20"/>
          <w:szCs w:val="20"/>
        </w:rPr>
        <w:t xml:space="preserve">Reserve Bank of India (2021), cited via Rang De, “Navigating the Perils of Informal Lending in Rural India” — informal-sector rates of 24–60%+ annualized versus 8–15% formal-bank rates.</w:t>
      </w:r>
    </w:p>
    <w:p>
      <w:pPr>
        <w:spacing w:after="140" w:line="264"/>
        <w:ind w:left="360" w:hanging="360"/>
      </w:pPr>
      <w:r>
        <w:rPr>
          <w:rFonts w:ascii="Arial" w:cs="Arial" w:eastAsia="Arial" w:hAnsi="Arial"/>
          <w:color w:val="1A1A1A"/>
          <w:sz w:val="20"/>
          <w:szCs w:val="20"/>
        </w:rPr>
        <w:t xml:space="preserve">8. </w:t>
      </w:r>
      <w:r>
        <w:rPr>
          <w:rFonts w:ascii="Arial" w:cs="Arial" w:eastAsia="Arial" w:hAnsi="Arial"/>
          <w:color w:val="1A1A1A"/>
          <w:sz w:val="20"/>
          <w:szCs w:val="20"/>
        </w:rPr>
        <w:t xml:space="preserve">Reserve Bank of India (2011), cited in “Relief from Usury: Impact of a Self-Help Group Lending Program in Rural India,” ScienceDirect — informal lending rates of 12–150% annualized; 34% of rural household debt held by traditional moneylenders (Government of India, 2014).</w:t>
      </w:r>
    </w:p>
    <w:p>
      <w:pPr>
        <w:spacing w:after="140" w:line="264"/>
        <w:ind w:left="360" w:hanging="360"/>
      </w:pPr>
      <w:r>
        <w:rPr>
          <w:rFonts w:ascii="Arial" w:cs="Arial" w:eastAsia="Arial" w:hAnsi="Arial"/>
          <w:color w:val="1A1A1A"/>
          <w:sz w:val="20"/>
          <w:szCs w:val="20"/>
        </w:rPr>
        <w:t xml:space="preserve">9. </w:t>
      </w:r>
      <w:r>
        <w:rPr>
          <w:rFonts w:ascii="Arial" w:cs="Arial" w:eastAsia="Arial" w:hAnsi="Arial"/>
          <w:color w:val="1A1A1A"/>
          <w:sz w:val="20"/>
          <w:szCs w:val="20"/>
        </w:rPr>
        <w:t xml:space="preserve">MicroSave survey, cited in Business Standard, “Moneylenders Back in AP with Jumbo Lending Rates” (2013) — traditional moneylenders 36–120% annualized; pawnbrokers against gold 30–36% annualized.</w:t>
      </w:r>
    </w:p>
    <w:p>
      <w:pPr>
        <w:spacing w:after="140" w:line="264"/>
        <w:ind w:left="360" w:hanging="360"/>
      </w:pPr>
      <w:r>
        <w:rPr>
          <w:rFonts w:ascii="Arial" w:cs="Arial" w:eastAsia="Arial" w:hAnsi="Arial"/>
          <w:color w:val="1A1A1A"/>
          <w:sz w:val="20"/>
          <w:szCs w:val="20"/>
        </w:rPr>
        <w:t xml:space="preserve">10. </w:t>
      </w:r>
      <w:r>
        <w:rPr>
          <w:rFonts w:ascii="Arial" w:cs="Arial" w:eastAsia="Arial" w:hAnsi="Arial"/>
          <w:color w:val="1A1A1A"/>
          <w:sz w:val="20"/>
          <w:szCs w:val="20"/>
        </w:rPr>
        <w:t xml:space="preserve">IdeasForIndia, “Are Moneylenders Financial Intermediaries?” — average informal lending rate of 40% per year in rural India.</w:t>
      </w:r>
    </w:p>
    <w:p>
      <w:pPr>
        <w:spacing w:after="140" w:line="264"/>
        <w:ind w:left="360" w:hanging="360"/>
      </w:pPr>
      <w:r>
        <w:rPr>
          <w:rFonts w:ascii="Arial" w:cs="Arial" w:eastAsia="Arial" w:hAnsi="Arial"/>
          <w:color w:val="1A1A1A"/>
          <w:sz w:val="20"/>
          <w:szCs w:val="20"/>
        </w:rPr>
        <w:t xml:space="preserve">11. </w:t>
      </w:r>
      <w:r>
        <w:rPr>
          <w:rFonts w:ascii="Arial" w:cs="Arial" w:eastAsia="Arial" w:hAnsi="Arial"/>
          <w:color w:val="1A1A1A"/>
          <w:sz w:val="20"/>
          <w:szCs w:val="20"/>
        </w:rPr>
        <w:t xml:space="preserve">National Sample Survey Organisation (2005a). Household Indebtedness in India as on 30.06.2002. Ministry of Statistics and Programme Implementation, Government of India.</w:t>
      </w:r>
    </w:p>
    <w:p>
      <w:pPr>
        <w:spacing w:after="140" w:line="264"/>
        <w:ind w:left="360" w:hanging="360"/>
      </w:pPr>
      <w:r>
        <w:rPr>
          <w:rFonts w:ascii="Arial" w:cs="Arial" w:eastAsia="Arial" w:hAnsi="Arial"/>
          <w:color w:val="1A1A1A"/>
          <w:sz w:val="20"/>
          <w:szCs w:val="20"/>
        </w:rPr>
        <w:t xml:space="preserve">12. </w:t>
      </w:r>
      <w:r>
        <w:rPr>
          <w:rFonts w:ascii="Arial" w:cs="Arial" w:eastAsia="Arial" w:hAnsi="Arial"/>
          <w:color w:val="1A1A1A"/>
          <w:sz w:val="20"/>
          <w:szCs w:val="20"/>
        </w:rPr>
        <w:t xml:space="preserve">Dash, A., &amp;amp; Mohanty, S. K. (2019). Do Poor People in the Poorer States Pay More for Healthcare in India? BMC Public Health, 19, 1030.</w:t>
      </w:r>
    </w:p>
    <w:p>
      <w:pPr>
        <w:spacing w:after="140" w:line="264"/>
        <w:ind w:left="360" w:hanging="360"/>
      </w:pPr>
      <w:r>
        <w:rPr>
          <w:rFonts w:ascii="Arial" w:cs="Arial" w:eastAsia="Arial" w:hAnsi="Arial"/>
          <w:color w:val="1A1A1A"/>
          <w:sz w:val="20"/>
          <w:szCs w:val="20"/>
        </w:rPr>
        <w:t xml:space="preserve">13. </w:t>
      </w:r>
      <w:r>
        <w:rPr>
          <w:rFonts w:ascii="Arial" w:cs="Arial" w:eastAsia="Arial" w:hAnsi="Arial"/>
          <w:color w:val="1A1A1A"/>
          <w:sz w:val="20"/>
          <w:szCs w:val="20"/>
        </w:rPr>
        <w:t xml:space="preserve">Banerjee, A., &amp;amp; Duflo, E. (2011). Poor Economics: A Radical Rethinking of the Way to Fight Global Poverty. PublicAffairs — 15 years of randomized field research across Chile, India, Kenya, and Indonesia; finding that microfinance is not a universal cure-all.</w:t>
      </w:r>
    </w:p>
    <w:p>
      <w:pPr>
        <w:spacing w:after="140" w:line="264"/>
        <w:ind w:left="360" w:hanging="360"/>
      </w:pPr>
      <w:r>
        <w:rPr>
          <w:rFonts w:ascii="Arial" w:cs="Arial" w:eastAsia="Arial" w:hAnsi="Arial"/>
          <w:color w:val="1A1A1A"/>
          <w:sz w:val="20"/>
          <w:szCs w:val="20"/>
        </w:rPr>
        <w:t xml:space="preserve">14. </w:t>
      </w:r>
      <w:r>
        <w:rPr>
          <w:rFonts w:ascii="Arial" w:cs="Arial" w:eastAsia="Arial" w:hAnsi="Arial"/>
          <w:color w:val="1A1A1A"/>
          <w:sz w:val="20"/>
          <w:szCs w:val="20"/>
        </w:rPr>
        <w:t xml:space="preserve">Abdul Latif Jameel Poverty Action Lab (J-PAL), MIT — 1,600+ randomized controlled trials across 80+ countries, policies reaching an estimated 600 million people (J-PAL, 2023).</w:t>
      </w:r>
    </w:p>
    <w:p>
      <w:pPr>
        <w:spacing w:after="140" w:line="264"/>
        <w:ind w:left="360" w:hanging="360"/>
      </w:pPr>
      <w:r>
        <w:rPr>
          <w:rFonts w:ascii="Arial" w:cs="Arial" w:eastAsia="Arial" w:hAnsi="Arial"/>
          <w:color w:val="1A1A1A"/>
          <w:sz w:val="20"/>
          <w:szCs w:val="20"/>
        </w:rPr>
        <w:t xml:space="preserve">15. </w:t>
      </w:r>
      <w:r>
        <w:rPr>
          <w:rFonts w:ascii="Arial" w:cs="Arial" w:eastAsia="Arial" w:hAnsi="Arial"/>
          <w:color w:val="1A1A1A"/>
          <w:sz w:val="20"/>
          <w:szCs w:val="20"/>
        </w:rPr>
        <w:t xml:space="preserve">ASER Centre / Pratham (2024). Annual Status of Education Report (Rural) 2024 — 649,491 children surveyed across 17,997 villages; Class 3 reading levels, historical trend since 2005.</w:t>
      </w:r>
    </w:p>
    <w:p>
      <w:pPr>
        <w:spacing w:after="140" w:line="264"/>
        <w:ind w:left="360" w:hanging="360"/>
      </w:pPr>
      <w:r>
        <w:rPr>
          <w:rFonts w:ascii="Arial" w:cs="Arial" w:eastAsia="Arial" w:hAnsi="Arial"/>
          <w:color w:val="1A1A1A"/>
          <w:sz w:val="20"/>
          <w:szCs w:val="20"/>
        </w:rPr>
        <w:t xml:space="preserve">16. </w:t>
      </w:r>
      <w:r>
        <w:rPr>
          <w:rFonts w:ascii="Arial" w:cs="Arial" w:eastAsia="Arial" w:hAnsi="Arial"/>
          <w:color w:val="1A1A1A"/>
          <w:sz w:val="20"/>
          <w:szCs w:val="20"/>
        </w:rPr>
        <w:t xml:space="preserve">Careers360 (2023), citing ASER Report 2022 — 20.5% of Class 3 rural children able to read a Class 2 textbook, down from 27.5% in 2018.</w:t>
      </w:r>
    </w:p>
    <w:p>
      <w:pPr>
        <w:spacing w:after="140" w:line="264"/>
        <w:ind w:left="360" w:hanging="360"/>
      </w:pPr>
      <w:r>
        <w:rPr>
          <w:rFonts w:ascii="Arial" w:cs="Arial" w:eastAsia="Arial" w:hAnsi="Arial"/>
          <w:color w:val="1A1A1A"/>
          <w:sz w:val="20"/>
          <w:szCs w:val="20"/>
        </w:rPr>
        <w:t xml:space="preserve">17. </w:t>
      </w:r>
      <w:r>
        <w:rPr>
          <w:rFonts w:ascii="Arial" w:cs="Arial" w:eastAsia="Arial" w:hAnsi="Arial"/>
          <w:color w:val="1A1A1A"/>
          <w:sz w:val="20"/>
          <w:szCs w:val="20"/>
        </w:rPr>
        <w:t xml:space="preserve">Press Information Bureau, Government of India (2023, 2026); DD News (2026); Business Standard (2024) — Pradhan Mantri Jan Dhan Yojana account, deposit, and Financial Inclusion Index figures, 2015–2026.</w:t>
      </w:r>
    </w:p>
    <w:p>
      <w:pPr>
        <w:spacing w:after="140" w:line="264"/>
        <w:ind w:left="360" w:hanging="360"/>
      </w:pPr>
      <w:r>
        <w:rPr>
          <w:rFonts w:ascii="Arial" w:cs="Arial" w:eastAsia="Arial" w:hAnsi="Arial"/>
          <w:color w:val="1A1A1A"/>
          <w:sz w:val="20"/>
          <w:szCs w:val="20"/>
        </w:rPr>
        <w:t xml:space="preserve">18. </w:t>
      </w:r>
      <w:r>
        <w:rPr>
          <w:rFonts w:ascii="Arial" w:cs="Arial" w:eastAsia="Arial" w:hAnsi="Arial"/>
          <w:color w:val="1A1A1A"/>
          <w:sz w:val="20"/>
          <w:szCs w:val="20"/>
        </w:rPr>
        <w:t xml:space="preserve">MicroSave, cited in Business Standard, “Jan Dhan Yojana Brings Down Inequality, Leakage” (2018) — last-mile implementation challenges in banking correspondent delivery.</w:t>
      </w:r>
    </w:p>
    <w:p>
      <w:pPr>
        <w:spacing w:after="140" w:line="264"/>
        <w:ind w:left="360" w:hanging="360"/>
      </w:pPr>
      <w:r>
        <w:rPr>
          <w:rFonts w:ascii="Arial" w:cs="Arial" w:eastAsia="Arial" w:hAnsi="Arial"/>
          <w:color w:val="1A1A1A"/>
          <w:sz w:val="20"/>
          <w:szCs w:val="20"/>
        </w:rPr>
        <w:t xml:space="preserve">19. </w:t>
      </w:r>
      <w:r>
        <w:rPr>
          <w:rFonts w:ascii="Arial" w:cs="Arial" w:eastAsia="Arial" w:hAnsi="Arial"/>
          <w:color w:val="1A1A1A"/>
          <w:sz w:val="20"/>
          <w:szCs w:val="20"/>
        </w:rPr>
        <w:t xml:space="preserve">Rocha, R., et al. Bolsa Família conditional cash transfer and child mortality — nationwide cohort evidence, cited via BMC International Health and Human Rights (2014).</w:t>
      </w:r>
    </w:p>
    <w:p>
      <w:pPr>
        <w:spacing w:after="140" w:line="264"/>
        <w:ind w:left="360" w:hanging="360"/>
      </w:pPr>
      <w:r>
        <w:rPr>
          <w:rFonts w:ascii="Arial" w:cs="Arial" w:eastAsia="Arial" w:hAnsi="Arial"/>
          <w:color w:val="1A1A1A"/>
          <w:sz w:val="20"/>
          <w:szCs w:val="20"/>
        </w:rPr>
        <w:t xml:space="preserve">20. </w:t>
      </w:r>
      <w:r>
        <w:rPr>
          <w:rFonts w:ascii="Arial" w:cs="Arial" w:eastAsia="Arial" w:hAnsi="Arial"/>
          <w:color w:val="1A1A1A"/>
          <w:sz w:val="20"/>
          <w:szCs w:val="20"/>
        </w:rPr>
        <w:t xml:space="preserve">Evaluating the relationship between conditional cash transfer programme on preterm births: a retrospective longitudinal study using the 100 million Brazilian cohort — extreme preterm birth odds ratio 0.69 (95% CI 0.63–0.76).</w:t>
      </w:r>
    </w:p>
    <w:p>
      <w:pPr>
        <w:spacing w:after="140" w:line="264"/>
        <w:ind w:left="360" w:hanging="360"/>
      </w:pPr>
      <w:r>
        <w:rPr>
          <w:rFonts w:ascii="Arial" w:cs="Arial" w:eastAsia="Arial" w:hAnsi="Arial"/>
          <w:color w:val="1A1A1A"/>
          <w:sz w:val="20"/>
          <w:szCs w:val="20"/>
        </w:rPr>
        <w:t xml:space="preserve">21. </w:t>
      </w:r>
      <w:r>
        <w:rPr>
          <w:rFonts w:ascii="Arial" w:cs="Arial" w:eastAsia="Arial" w:hAnsi="Arial"/>
          <w:color w:val="1A1A1A"/>
          <w:sz w:val="20"/>
          <w:szCs w:val="20"/>
        </w:rPr>
        <w:t xml:space="preserve">de Brauw, A., et al., cited via Cambridge Core, “Evaluating the Impact of Brazil's Bolsa Família” — poverty, inequality, and education outcomes without negative labor-participation effects.</w:t>
      </w:r>
    </w:p>
    <w:p>
      <w:pPr>
        <w:spacing w:after="140" w:line="264"/>
        <w:ind w:left="360" w:hanging="360"/>
      </w:pPr>
      <w:r>
        <w:rPr>
          <w:rFonts w:ascii="Arial" w:cs="Arial" w:eastAsia="Arial" w:hAnsi="Arial"/>
          <w:color w:val="1A1A1A"/>
          <w:sz w:val="20"/>
          <w:szCs w:val="20"/>
        </w:rPr>
        <w:t xml:space="preserve">22. </w:t>
      </w:r>
      <w:r>
        <w:rPr>
          <w:rFonts w:ascii="Arial" w:cs="Arial" w:eastAsia="Arial" w:hAnsi="Arial"/>
          <w:color w:val="1A1A1A"/>
          <w:sz w:val="20"/>
          <w:szCs w:val="20"/>
        </w:rPr>
        <w:t xml:space="preserve">Bourguignon, F., Ferreira, F. H. G., &amp;amp; Leite, P. G. (2003), cited via ResearchGate, “The Impact of Conditional Cash Transfers on Health Status: The Brazilian Bolsa Família Programme” — Bolsa Escola enrollment response (~60%) and modest poverty/Gini impact; lack of significant general health-status improvement.</w:t>
      </w:r>
    </w:p>
    <w:p>
      <w:pPr>
        <w:spacing w:after="140" w:line="264"/>
        <w:ind w:left="360" w:hanging="360"/>
      </w:pPr>
      <w:r>
        <w:rPr>
          <w:rFonts w:ascii="Arial" w:cs="Arial" w:eastAsia="Arial" w:hAnsi="Arial"/>
          <w:color w:val="1A1A1A"/>
          <w:sz w:val="20"/>
          <w:szCs w:val="20"/>
        </w:rPr>
        <w:t xml:space="preserve">23. </w:t>
      </w:r>
      <w:r>
        <w:rPr>
          <w:rFonts w:ascii="Arial" w:cs="Arial" w:eastAsia="Arial" w:hAnsi="Arial"/>
          <w:color w:val="1A1A1A"/>
          <w:sz w:val="20"/>
          <w:szCs w:val="20"/>
        </w:rPr>
        <w:t xml:space="preserve">ICRIER Policy Brief 27, “Reforming India's Public Distribution System” — national leakage decline from ~42% (2011–12) to ~22% (2022–23); Bihar and West Bengal state-level figures.</w:t>
      </w:r>
    </w:p>
    <w:p>
      <w:pPr>
        <w:spacing w:after="140" w:line="264"/>
        <w:ind w:left="360" w:hanging="360"/>
      </w:pPr>
      <w:r>
        <w:rPr>
          <w:rFonts w:ascii="Arial" w:cs="Arial" w:eastAsia="Arial" w:hAnsi="Arial"/>
          <w:color w:val="1A1A1A"/>
          <w:sz w:val="20"/>
          <w:szCs w:val="20"/>
        </w:rPr>
        <w:t xml:space="preserve">24. </w:t>
      </w:r>
      <w:r>
        <w:rPr>
          <w:rFonts w:ascii="Arial" w:cs="Arial" w:eastAsia="Arial" w:hAnsi="Arial"/>
          <w:color w:val="1A1A1A"/>
          <w:sz w:val="20"/>
          <w:szCs w:val="20"/>
        </w:rPr>
        <w:t xml:space="preserve">Lukmaan IAS, “Impact of the Food Security Act on the Public Distribution System” (Oct 2024) — Tamil Nadu leakage increase from 12% to 25%, 2011–12 to 2022–23.</w:t>
      </w:r>
    </w:p>
    <w:p>
      <w:pPr>
        <w:spacing w:after="140" w:line="264"/>
        <w:ind w:left="360" w:hanging="360"/>
      </w:pPr>
      <w:r>
        <w:rPr>
          <w:rFonts w:ascii="Arial" w:cs="Arial" w:eastAsia="Arial" w:hAnsi="Arial"/>
          <w:color w:val="1A1A1A"/>
          <w:sz w:val="20"/>
          <w:szCs w:val="20"/>
        </w:rPr>
        <w:t xml:space="preserve">25. </w:t>
      </w:r>
      <w:r>
        <w:rPr>
          <w:rFonts w:ascii="Arial" w:cs="Arial" w:eastAsia="Arial" w:hAnsi="Arial"/>
          <w:color w:val="1A1A1A"/>
          <w:sz w:val="20"/>
          <w:szCs w:val="20"/>
        </w:rPr>
        <w:t xml:space="preserve">Muralidharan, K., Niehaus, P., &amp;amp; Sukhtankar, S., cited via VoxDev, “Balancing Corruption and Exclusion: Incorporating India's Aadhaar into Public Food Distribution” — Jharkhand leakage-versus-exclusion tradeoff evidence; comparable purchase-entitlement ratios in ABBA (93%) versus non-ABBA (94%) villages.</w:t>
      </w:r>
    </w:p>
    <w:p>
      <w:pPr>
        <w:spacing w:after="300"/>
      </w:pPr>
    </w:p>
    <w:p>
      <w:pPr>
        <w:spacing w:before="300"/>
        <w:jc w:val="center"/>
      </w:pPr>
      <w:r>
        <w:rPr>
          <w:rFonts w:ascii="Arial" w:cs="Arial" w:eastAsia="Arial" w:hAnsi="Arial"/>
          <w:i/>
          <w:iCs/>
          <w:color w:val="555555"/>
          <w:sz w:val="18"/>
          <w:szCs w:val="18"/>
        </w:rPr>
        <w:t xml:space="preserve">This white paper is offered as a contribution to the debate on measuring and addressing structural poverty. The authors welcome comments, critique, and correction.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D6B4F" w:sz="4" w:space="4"/>
      </w:pBdr>
      <w:tabs>
        <w:tab w:val="right" w:pos="9026"/>
      </w:tabs>
    </w:pPr>
    <w:r>
      <w:rPr>
        <w:rFonts w:ascii="Arial" w:cs="Arial" w:eastAsia="Arial" w:hAnsi="Arial"/>
        <w:b/>
        <w:bCs/>
        <w:color w:val="555555"/>
        <w:sz w:val="16"/>
        <w:szCs w:val="16"/>
      </w:rPr>
      <w:t xml:space="preserve">NGE WHITE PAPER</w:t>
    </w:r>
    <w:r>
      <w:rPr>
        <w:rFonts w:ascii="Arial" w:cs="Arial" w:eastAsia="Arial" w:hAnsi="Arial"/>
        <w:b/>
        <w:bCs/>
        <w:color w:val="555555"/>
        <w:sz w:val="16"/>
        <w:szCs w:val="16"/>
      </w:rPr>
      <w:t xml:space="preserve">	THE SCARCITY TRAP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2026-09-03T07:38:23.870Z</dcterms:created>
  <dcterms:modified xsi:type="dcterms:W3CDTF">2026-09-03T07:38:23.870Z</dcterms:modified>
</cp:coreProperties>
</file>

<file path=docProps/custom.xml><?xml version="1.0" encoding="utf-8"?>
<Properties xmlns="http://schemas.openxmlformats.org/officeDocument/2006/custom-properties" xmlns:vt="http://schemas.openxmlformats.org/officeDocument/2006/docPropsVTypes"/>
</file>