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400"/>
        <w:jc w:val="center"/>
      </w:pPr>
      <w:r>
        <w:rPr>
          <w:rFonts w:ascii="Arial" w:cs="Arial" w:eastAsia="Arial" w:hAnsi="Arial"/>
          <w:b/>
          <w:bCs/>
          <w:color w:val="0A2540"/>
          <w:spacing w:val="20"/>
          <w:sz w:val="22"/>
          <w:szCs w:val="22"/>
        </w:rPr>
        <w:t xml:space="preserve">NEXTGEN ECONOMICS</w:t>
      </w:r>
    </w:p>
    <w:p>
      <w:pPr>
        <w:spacing w:after="500"/>
        <w:jc w:val="center"/>
      </w:pPr>
      <w:r>
        <w:rPr>
          <w:rFonts w:ascii="Arial" w:cs="Arial" w:eastAsia="Arial" w:hAnsi="Arial"/>
          <w:b/>
          <w:bCs/>
          <w:color w:val="B8860B"/>
          <w:spacing w:val="10"/>
          <w:sz w:val="17"/>
          <w:szCs w:val="17"/>
        </w:rPr>
        <w:t xml:space="preserve">WHITE PAPER · SMALL-STATE STRATEGY &amp; INSTITUTIONAL ECONOMICS</w:t>
      </w:r>
    </w:p>
    <w:p>
      <w:pPr>
        <w:spacing w:after="100"/>
        <w:jc w:val="center"/>
      </w:pPr>
      <w:r>
        <w:rPr>
          <w:rFonts w:ascii="Arial" w:cs="Arial" w:eastAsia="Arial" w:hAnsi="Arial"/>
          <w:b/>
          <w:bCs/>
          <w:color w:val="0A2540"/>
          <w:sz w:val="34"/>
          <w:szCs w:val="34"/>
        </w:rPr>
        <w:t xml:space="preserve">Hidden Gems 2.0: From Rule-Takers to Rule-Makers</w:t>
      </w:r>
    </w:p>
    <w:p>
      <w:pPr>
        <w:spacing w:after="400"/>
        <w:jc w:val="center"/>
      </w:pPr>
      <w:r>
        <w:rPr>
          <w:rFonts w:ascii="Arial" w:cs="Arial" w:eastAsia="Arial" w:hAnsi="Arial"/>
          <w:i/>
          <w:iCs/>
          <w:color w:val="B8860B"/>
          <w:sz w:val="22"/>
          <w:szCs w:val="22"/>
        </w:rPr>
        <w:t xml:space="preserve">How Small Nations Can Architect the Next Global Economy</w:t>
      </w:r>
    </w:p>
    <w:p>
      <w:pPr>
        <w:spacing w:after="500"/>
        <w:jc w:val="center"/>
      </w:pPr>
      <w:r>
        <w:rPr>
          <w:rFonts w:ascii="Arial" w:cs="Arial" w:eastAsia="Arial" w:hAnsi="Arial"/>
          <w:i/>
          <w:iCs/>
          <w:color w:val="555555"/>
          <w:sz w:val="21"/>
          <w:szCs w:val="21"/>
        </w:rPr>
        <w:t xml:space="preserve">Four interconnected strategies — Sovereign Data Trusts, Resilience-as-a-Service, Norm Arbitrage, and Strategic Monoculture 2.0 — through which small states can move from optimising for today's global economy to architecting tomorrow's.</w:t>
      </w:r>
    </w:p>
    <w:p>
      <w:pPr>
        <w:spacing w:after="40"/>
        <w:jc w:val="center"/>
      </w:pPr>
      <w:r>
        <w:rPr>
          <w:rFonts w:ascii="Arial" w:cs="Arial" w:eastAsia="Arial" w:hAnsi="Arial"/>
          <w:b/>
          <w:bCs/>
          <w:color w:val="0A2540"/>
          <w:sz w:val="22"/>
          <w:szCs w:val="22"/>
        </w:rPr>
        <w:t xml:space="preserve">Pawan Bhatia</w:t>
      </w:r>
    </w:p>
    <w:p>
      <w:pPr>
        <w:spacing w:after="40"/>
        <w:jc w:val="center"/>
      </w:pPr>
      <w:r>
        <w:rPr>
          <w:rFonts w:ascii="Arial" w:cs="Arial" w:eastAsia="Arial" w:hAnsi="Arial"/>
          <w:color w:val="1A1A1A"/>
          <w:sz w:val="20"/>
          <w:szCs w:val="20"/>
        </w:rPr>
        <w:t xml:space="preserve">NextGen Economics · Bangalore, India</w:t>
      </w:r>
    </w:p>
    <w:p>
      <w:pPr>
        <w:spacing w:after="400"/>
        <w:jc w:val="center"/>
      </w:pPr>
      <w:r>
        <w:rPr>
          <w:rFonts w:ascii="Arial" w:cs="Arial" w:eastAsia="Arial" w:hAnsi="Arial"/>
          <w:color w:val="1A1A1A"/>
          <w:sz w:val="20"/>
          <w:szCs w:val="20"/>
        </w:rPr>
        <w:t xml:space="preserve">First Draft · August 2026</w:t>
      </w:r>
    </w:p>
    <w:p>
      <w:pPr>
        <w:spacing w:after="200"/>
        <w:jc w:val="center"/>
      </w:pPr>
      <w:r>
        <w:rPr>
          <w:rFonts w:ascii="Arial" w:cs="Arial" w:eastAsia="Arial" w:hAnsi="Arial"/>
          <w:i/>
          <w:iCs/>
          <w:color w:val="555555"/>
          <w:sz w:val="18"/>
          <w:szCs w:val="18"/>
        </w:rPr>
        <w:t xml:space="preserve">Compiled with the assistance of AI tools for research synthesis and drafting, and reviewed by NextGen Economics. This is the eleventh white paper published by NextGen Economics.</w:t>
      </w:r>
    </w:p>
    <w:p>
      <w:r>
        <w:br w:type="page"/>
      </w:r>
    </w:p>
    <w:p>
      <w:pPr>
        <w:pStyle w:val="Heading1"/>
        <w:spacing w:after="100"/>
      </w:pPr>
      <w:r>
        <w:rPr>
          <w:rFonts w:ascii="Arial" w:cs="Arial" w:eastAsia="Arial" w:hAnsi="Arial"/>
          <w:b/>
          <w:bCs/>
          <w:color w:val="0A2540"/>
          <w:sz w:val="30"/>
          <w:szCs w:val="30"/>
        </w:rPr>
        <w:t xml:space="preserve">Table of Contents</w:t>
      </w:r>
    </w:p>
    <w:p>
      <w:pPr>
        <w:pBdr>
          <w:bottom w:val="single" w:color="B8860B" w:sz="12" w:space="8"/>
        </w:pBdr>
        <w:spacing w:after="300"/>
      </w:pPr>
    </w:p>
    <w:p>
      <w:pPr>
        <w:tabs>
          <w:tab w:val="right" w:pos="9026" w:leader="dot"/>
        </w:tabs>
        <w:spacing w:after="140"/>
      </w:pPr>
      <w:r>
        <w:rPr>
          <w:rFonts w:ascii="Arial" w:cs="Arial" w:eastAsia="Arial" w:hAnsi="Arial"/>
          <w:color w:val="1A1A1A"/>
          <w:sz w:val="21"/>
          <w:szCs w:val="21"/>
        </w:rPr>
        <w:t xml:space="preserve">Executive Summary</w:t>
      </w:r>
      <w:r>
        <w:rPr>
          <w:rFonts w:ascii="Arial" w:cs="Arial" w:eastAsia="Arial" w:hAnsi="Arial"/>
          <w:color w:val="B8860B"/>
          <w:sz w:val="21"/>
          <w:szCs w:val="21"/>
        </w:rPr>
        <w:t xml:space="preserve">	3</w:t>
      </w:r>
    </w:p>
    <w:p>
      <w:pPr>
        <w:tabs>
          <w:tab w:val="right" w:pos="9026" w:leader="dot"/>
        </w:tabs>
        <w:spacing w:after="140"/>
      </w:pPr>
      <w:r>
        <w:rPr>
          <w:rFonts w:ascii="Arial" w:cs="Arial" w:eastAsia="Arial" w:hAnsi="Arial"/>
          <w:color w:val="1A1A1A"/>
          <w:sz w:val="21"/>
          <w:szCs w:val="21"/>
        </w:rPr>
        <w:t xml:space="preserve">How to Read This Paper</w:t>
      </w:r>
      <w:r>
        <w:rPr>
          <w:rFonts w:ascii="Arial" w:cs="Arial" w:eastAsia="Arial" w:hAnsi="Arial"/>
          <w:color w:val="B8860B"/>
          <w:sz w:val="21"/>
          <w:szCs w:val="21"/>
        </w:rPr>
        <w:t xml:space="preserve">	4</w:t>
      </w:r>
    </w:p>
    <w:p>
      <w:pPr>
        <w:tabs>
          <w:tab w:val="right" w:pos="9026" w:leader="dot"/>
        </w:tabs>
        <w:spacing w:after="140"/>
      </w:pPr>
      <w:r>
        <w:rPr>
          <w:rFonts w:ascii="Arial" w:cs="Arial" w:eastAsia="Arial" w:hAnsi="Arial"/>
          <w:color w:val="1A1A1A"/>
          <w:sz w:val="21"/>
          <w:szCs w:val="21"/>
        </w:rPr>
        <w:t xml:space="preserve">Part I — Foundation</w:t>
      </w:r>
      <w:r>
        <w:rPr>
          <w:rFonts w:ascii="Arial" w:cs="Arial" w:eastAsia="Arial" w:hAnsi="Arial"/>
          <w:color w:val="B8860B"/>
          <w:sz w:val="21"/>
          <w:szCs w:val="21"/>
        </w:rPr>
        <w:t xml:space="preserve">	5</w:t>
      </w:r>
    </w:p>
    <w:p>
      <w:pPr>
        <w:tabs>
          <w:tab w:val="right" w:pos="9026" w:leader="dot"/>
        </w:tabs>
        <w:spacing w:after="140"/>
      </w:pPr>
      <w:r>
        <w:rPr>
          <w:rFonts w:ascii="Arial" w:cs="Arial" w:eastAsia="Arial" w:hAnsi="Arial"/>
          <w:color w:val="1A1A1A"/>
          <w:sz w:val="21"/>
          <w:szCs w:val="21"/>
        </w:rPr>
        <w:t xml:space="preserve">Part II — The Four Pillars</w:t>
      </w:r>
      <w:r>
        <w:rPr>
          <w:rFonts w:ascii="Arial" w:cs="Arial" w:eastAsia="Arial" w:hAnsi="Arial"/>
          <w:color w:val="B8860B"/>
          <w:sz w:val="21"/>
          <w:szCs w:val="21"/>
        </w:rPr>
        <w:t xml:space="preserve">	9</w:t>
      </w:r>
    </w:p>
    <w:p>
      <w:pPr>
        <w:tabs>
          <w:tab w:val="right" w:pos="9026" w:leader="dot"/>
        </w:tabs>
        <w:spacing w:after="140"/>
      </w:pPr>
      <w:r>
        <w:rPr>
          <w:rFonts w:ascii="Arial" w:cs="Arial" w:eastAsia="Arial" w:hAnsi="Arial"/>
          <w:color w:val="1A1A1A"/>
          <w:sz w:val="21"/>
          <w:szCs w:val="21"/>
        </w:rPr>
        <w:t xml:space="preserve">Part III — Synthesis &amp; Roadmap</w:t>
      </w:r>
      <w:r>
        <w:rPr>
          <w:rFonts w:ascii="Arial" w:cs="Arial" w:eastAsia="Arial" w:hAnsi="Arial"/>
          <w:color w:val="B8860B"/>
          <w:sz w:val="21"/>
          <w:szCs w:val="21"/>
        </w:rPr>
        <w:t xml:space="preserve">	20</w:t>
      </w:r>
    </w:p>
    <w:p>
      <w:pPr>
        <w:tabs>
          <w:tab w:val="right" w:pos="9026" w:leader="dot"/>
        </w:tabs>
        <w:spacing w:after="140"/>
      </w:pPr>
      <w:r>
        <w:rPr>
          <w:rFonts w:ascii="Arial" w:cs="Arial" w:eastAsia="Arial" w:hAnsi="Arial"/>
          <w:color w:val="1A1A1A"/>
          <w:sz w:val="21"/>
          <w:szCs w:val="21"/>
        </w:rPr>
        <w:t xml:space="preserve">References</w:t>
      </w:r>
      <w:r>
        <w:rPr>
          <w:rFonts w:ascii="Arial" w:cs="Arial" w:eastAsia="Arial" w:hAnsi="Arial"/>
          <w:color w:val="B8860B"/>
          <w:sz w:val="21"/>
          <w:szCs w:val="21"/>
        </w:rPr>
        <w:t xml:space="preserve">	27</w:t>
      </w:r>
    </w:p>
    <w:p>
      <w:r>
        <w:br w:type="page"/>
      </w:r>
    </w:p>
    <w:p>
      <w:pPr>
        <w:pStyle w:val="Heading1"/>
        <w:spacing w:after="200" w:before="400"/>
      </w:pPr>
      <w:r>
        <w:rPr>
          <w:rFonts w:ascii="Arial" w:cs="Arial" w:eastAsia="Arial" w:hAnsi="Arial"/>
          <w:b/>
          <w:bCs/>
          <w:color w:val="0A2540"/>
          <w:sz w:val="30"/>
          <w:szCs w:val="30"/>
        </w:rPr>
        <w:t xml:space="preserve">Executive Summary</w:t>
      </w:r>
    </w:p>
    <w:p>
      <w:pPr>
        <w:spacing w:after="200" w:line="276"/>
        <w:jc w:val="both"/>
      </w:pPr>
      <w:r>
        <w:rPr>
          <w:rFonts w:ascii="Arial" w:cs="Arial" w:eastAsia="Arial" w:hAnsi="Arial"/>
          <w:b w:val="false"/>
          <w:bCs w:val="false"/>
          <w:i w:val="false"/>
          <w:iCs w:val="false"/>
          <w:color w:val="1A1A1A"/>
          <w:sz w:val="21"/>
          <w:szCs w:val="21"/>
        </w:rPr>
        <w:t xml:space="preserve">Small states have long been defined by their vulnerabilities: narrow production bases, limited domestic markets, geographical isolation, and acute exposure to external shocks. The conventional policy prescription — export diversification, foreign direct investment attraction, and tourism development — has proven increasingly insufficient in an era of artificial intelligence, geopolitical fragmentation, and weaponised supply chains.</w:t>
      </w:r>
    </w:p>
    <w:p>
      <w:pPr>
        <w:spacing w:after="200" w:line="276"/>
        <w:jc w:val="both"/>
      </w:pPr>
      <w:r>
        <w:rPr>
          <w:rFonts w:ascii="Arial" w:cs="Arial" w:eastAsia="Arial" w:hAnsi="Arial"/>
          <w:b w:val="false"/>
          <w:bCs w:val="false"/>
          <w:i w:val="false"/>
          <w:iCs w:val="false"/>
          <w:color w:val="1A1A1A"/>
          <w:sz w:val="21"/>
          <w:szCs w:val="21"/>
        </w:rPr>
        <w:t xml:space="preserve">This white paper presents a paradigm shift. It argues that small nations must stop optimising for the existing global economy and instead begin architecting the next one. Drawing on literature from international political economy, digital governance, regulatory theory, and institutional economics, we propose four interconnected pillars that collectively enable small states to transition from rule-takers to rule-makers:</w:t>
      </w:r>
    </w:p>
    <w:p>
      <w:pPr>
        <w:spacing w:after="140" w:line="264"/>
        <w:ind w:left="360" w:hanging="360"/>
      </w:pPr>
      <w:r>
        <w:rPr>
          <w:rFonts w:ascii="Arial" w:cs="Arial" w:eastAsia="Arial" w:hAnsi="Arial"/>
          <w:b/>
          <w:bCs/>
          <w:color w:val="1A1A1A"/>
          <w:sz w:val="21"/>
          <w:szCs w:val="21"/>
        </w:rPr>
        <w:t xml:space="preserve">1. </w:t>
      </w:r>
      <w:r>
        <w:rPr>
          <w:rFonts w:ascii="Arial" w:cs="Arial" w:eastAsia="Arial" w:hAnsi="Arial"/>
          <w:color w:val="1A1A1A"/>
          <w:sz w:val="21"/>
          <w:szCs w:val="21"/>
        </w:rPr>
        <w:t xml:space="preserve">Cognitive Sovereignty via Sovereign Data Trusts — transforming data from a vulnerability into a recurring revenue stream and governance asset through multilateral data pooling and licensing to AI laboratories.</w:t>
      </w:r>
    </w:p>
    <w:p>
      <w:pPr>
        <w:spacing w:after="140" w:line="264"/>
        <w:ind w:left="360" w:hanging="360"/>
      </w:pPr>
      <w:r>
        <w:rPr>
          <w:rFonts w:ascii="Arial" w:cs="Arial" w:eastAsia="Arial" w:hAnsi="Arial"/>
          <w:b/>
          <w:bCs/>
          <w:color w:val="1A1A1A"/>
          <w:sz w:val="21"/>
          <w:szCs w:val="21"/>
        </w:rPr>
        <w:t xml:space="preserve">2. </w:t>
      </w:r>
      <w:r>
        <w:rPr>
          <w:rFonts w:ascii="Arial" w:cs="Arial" w:eastAsia="Arial" w:hAnsi="Arial"/>
          <w:color w:val="1A1A1A"/>
          <w:sz w:val="21"/>
          <w:szCs w:val="21"/>
        </w:rPr>
        <w:t xml:space="preserve">Resilience-as-a-Service (RaaS) — packaging institutional agility and crisis-response capabilities as high-value knowledge exports for larger, slower nations.</w:t>
      </w:r>
    </w:p>
    <w:p>
      <w:pPr>
        <w:spacing w:after="140" w:line="264"/>
        <w:ind w:left="360" w:hanging="360"/>
      </w:pPr>
      <w:r>
        <w:rPr>
          <w:rFonts w:ascii="Arial" w:cs="Arial" w:eastAsia="Arial" w:hAnsi="Arial"/>
          <w:b/>
          <w:bCs/>
          <w:color w:val="1A1A1A"/>
          <w:sz w:val="21"/>
          <w:szCs w:val="21"/>
        </w:rPr>
        <w:t xml:space="preserve">3. </w:t>
      </w:r>
      <w:r>
        <w:rPr>
          <w:rFonts w:ascii="Arial" w:cs="Arial" w:eastAsia="Arial" w:hAnsi="Arial"/>
          <w:color w:val="1A1A1A"/>
          <w:sz w:val="21"/>
          <w:szCs w:val="21"/>
        </w:rPr>
        <w:t xml:space="preserve">Norm Arbitrage — systematically identifying regulatory gaps in emerging global issues and becoming the first-mover jurisdiction to establish legal frameworks, generating first-mover fees and jurisdictional branding.</w:t>
      </w:r>
    </w:p>
    <w:p>
      <w:pPr>
        <w:spacing w:after="140" w:line="264"/>
        <w:ind w:left="360" w:hanging="360"/>
      </w:pPr>
      <w:r>
        <w:rPr>
          <w:rFonts w:ascii="Arial" w:cs="Arial" w:eastAsia="Arial" w:hAnsi="Arial"/>
          <w:b/>
          <w:bCs/>
          <w:color w:val="1A1A1A"/>
          <w:sz w:val="21"/>
          <w:szCs w:val="21"/>
        </w:rPr>
        <w:t xml:space="preserve">4. </w:t>
      </w:r>
      <w:r>
        <w:rPr>
          <w:rFonts w:ascii="Arial" w:cs="Arial" w:eastAsia="Arial" w:hAnsi="Arial"/>
          <w:color w:val="1A1A1A"/>
          <w:sz w:val="21"/>
          <w:szCs w:val="21"/>
        </w:rPr>
        <w:t xml:space="preserve">Strategic Monoculture 2.0 — achieving absolute global dominance in a single hyper-niche vertical of the future economy, challenging the diversification dogma with a strategy of targeted concentration.</w:t>
      </w:r>
    </w:p>
    <w:p>
      <w:pPr>
        <w:spacing w:after="200" w:line="276"/>
        <w:jc w:val="both"/>
      </w:pPr>
      <w:r>
        <w:rPr>
          <w:rFonts w:ascii="Arial" w:cs="Arial" w:eastAsia="Arial" w:hAnsi="Arial"/>
          <w:b w:val="false"/>
          <w:bCs w:val="false"/>
          <w:i w:val="false"/>
          <w:iCs w:val="false"/>
          <w:color w:val="1A1A1A"/>
          <w:sz w:val="21"/>
          <w:szCs w:val="21"/>
        </w:rPr>
        <w:t xml:space="preserve">The white paper concludes with an integrated implementation roadmap and risk mitigation framework, demonstrating how these four pillars can reinforce one another as a coherent strategy for small-state economic transformation in the twenty-first century.</w:t>
      </w:r>
    </w:p>
    <w:p>
      <w:r>
        <w:br w:type="page"/>
      </w:r>
    </w:p>
    <w:p>
      <w:pPr>
        <w:pStyle w:val="Heading1"/>
        <w:spacing w:after="200" w:before="400"/>
      </w:pPr>
      <w:r>
        <w:rPr>
          <w:rFonts w:ascii="Arial" w:cs="Arial" w:eastAsia="Arial" w:hAnsi="Arial"/>
          <w:b/>
          <w:bCs/>
          <w:color w:val="0A2540"/>
          <w:sz w:val="30"/>
          <w:szCs w:val="30"/>
        </w:rPr>
        <w:t xml:space="preserve">How to Read This Paper</w:t>
      </w:r>
    </w:p>
    <w:p>
      <w:pPr>
        <w:spacing w:after="200" w:line="276"/>
        <w:jc w:val="both"/>
      </w:pPr>
      <w:r>
        <w:rPr>
          <w:rFonts w:ascii="Arial" w:cs="Arial" w:eastAsia="Arial" w:hAnsi="Arial"/>
          <w:b w:val="false"/>
          <w:bCs w:val="false"/>
          <w:i w:val="false"/>
          <w:iCs w:val="false"/>
          <w:color w:val="1A1A1A"/>
          <w:sz w:val="21"/>
          <w:szCs w:val="21"/>
        </w:rPr>
        <w:t xml:space="preserve">This paper mixes several different kinds of claims, and NGE's standard practice — stated plainly in every letter and paper this firm publishes — is to verify before publishing, name what could not be verified, and correct errors in public when found. In that spirit:</w:t>
      </w:r>
    </w:p>
    <w:p>
      <w:pPr>
        <w:spacing w:after="200" w:line="276"/>
        <w:jc w:val="both"/>
      </w:pPr>
      <w:r>
        <w:rPr>
          <w:rFonts w:ascii="Arial" w:cs="Arial" w:eastAsia="Arial" w:hAnsi="Arial"/>
          <w:b/>
          <w:bCs/>
          <w:color w:val="1A1A1A"/>
          <w:sz w:val="21"/>
          <w:szCs w:val="21"/>
        </w:rPr>
        <w:t xml:space="preserve">Established academic grounding: </w:t>
      </w:r>
      <w:r>
        <w:rPr>
          <w:rFonts w:ascii="Arial" w:cs="Arial" w:eastAsia="Arial" w:hAnsi="Arial"/>
          <w:color w:val="1A1A1A"/>
          <w:sz w:val="21"/>
          <w:szCs w:val="21"/>
        </w:rPr>
        <w:t xml:space="preserve">the small-state vulnerability literature (Briguglio, 1995), common-pool resource governance (Ostrom, 1990), surveillance capitalism (Zuboff, 2019), norm entrepreneurship (Finnemore &amp; Sikkink, 1998), institutional isomorphism (DiMaggio &amp; Powell, 1983), and the resource-based view of the firm (Barney, 1991) are real, well-established, independently verifiable works. Estonia's e-Residency programme is real and independently documented.</w:t>
      </w:r>
    </w:p>
    <w:p>
      <w:pPr>
        <w:spacing w:after="200" w:line="276"/>
        <w:jc w:val="both"/>
      </w:pPr>
      <w:r>
        <w:rPr>
          <w:rFonts w:ascii="Arial" w:cs="Arial" w:eastAsia="Arial" w:hAnsi="Arial"/>
          <w:b/>
          <w:bCs/>
          <w:color w:val="1A1A1A"/>
          <w:sz w:val="21"/>
          <w:szCs w:val="21"/>
        </w:rPr>
        <w:t xml:space="preserve">Corrected in this draft: </w:t>
      </w:r>
      <w:r>
        <w:rPr>
          <w:rFonts w:ascii="Arial" w:cs="Arial" w:eastAsia="Arial" w:hAnsi="Arial"/>
          <w:color w:val="1A1A1A"/>
          <w:sz w:val="21"/>
          <w:szCs w:val="21"/>
        </w:rPr>
        <w:t xml:space="preserve">the original working draft cited Estonia's e-Residency programme at “over 100,000 e-residents from 170 countries.” As of 2026 the programme has grown to over 130,000 e-residents from more than 180 countries, having founded over 37,000 companies. That figure has been updated below. The original draft also asserted Barbados held “one of the lowest per-capita death rates in the Americas” during COVID-19; NGE could not independently verify this specific superlative claim against comparative regional data, and has revised the language to describe Barbados's response qualitatively rather than repeat an unverified ranking.</w:t>
      </w:r>
    </w:p>
    <w:p>
      <w:pPr>
        <w:spacing w:after="200" w:line="276"/>
        <w:jc w:val="both"/>
      </w:pPr>
      <w:r>
        <w:rPr>
          <w:rFonts w:ascii="Arial" w:cs="Arial" w:eastAsia="Arial" w:hAnsi="Arial"/>
          <w:b/>
          <w:bCs/>
          <w:color w:val="1A1A1A"/>
          <w:sz w:val="21"/>
          <w:szCs w:val="21"/>
        </w:rPr>
        <w:t xml:space="preserve">Flagged rather than asserted: </w:t>
      </w:r>
      <w:r>
        <w:rPr>
          <w:rFonts w:ascii="Arial" w:cs="Arial" w:eastAsia="Arial" w:hAnsi="Arial"/>
          <w:color w:val="1A1A1A"/>
          <w:sz w:val="21"/>
          <w:szCs w:val="21"/>
        </w:rPr>
        <w:t xml:space="preserve">several secondary sources cited in the original draft — including specific 2025 items attributed to Chatham House, UNDP, ESCAP, and named journal articles with exact volume and page numbers — could not be independently located and verified by NGE at the level of precision cited. This is a known failure mode of AI-assisted drafting: plausible-looking citations are sometimes generated rather than retrieved. Rather than silently keep or silently strip these, they are named here. Readers who need those citations verified for their own purposes should treat them as unconfirmed until checked against the original source, not as established fact.</w:t>
      </w:r>
    </w:p>
    <w:p>
      <w:pPr>
        <w:spacing w:after="200" w:line="276"/>
        <w:jc w:val="both"/>
      </w:pPr>
      <w:r>
        <w:rPr>
          <w:rFonts w:ascii="Arial" w:cs="Arial" w:eastAsia="Arial" w:hAnsi="Arial"/>
          <w:b/>
          <w:bCs/>
          <w:color w:val="1A1A1A"/>
          <w:sz w:val="21"/>
          <w:szCs w:val="21"/>
        </w:rPr>
        <w:t xml:space="preserve">This paper's own proposal, not existing consensus: </w:t>
      </w:r>
      <w:r>
        <w:rPr>
          <w:rFonts w:ascii="Arial" w:cs="Arial" w:eastAsia="Arial" w:hAnsi="Arial"/>
          <w:color w:val="1A1A1A"/>
          <w:sz w:val="21"/>
          <w:szCs w:val="21"/>
        </w:rPr>
        <w:t xml:space="preserve">all four pillars, and every specific dollar figure attached to them (data trust licensing fees, RaaS contract values, norm arbitrage registration revenue, Strategic Monoculture market-share projections) are original illustrative estimates constructed by NGE to make the argument concrete. They are modelled scenarios showing what a pillar could plausibly generate under stated assumptions — not empirical forecasts, market research, or guidance to any specific state. They should be read as the paper's proposal for how to think about magnitude, not as verified projections.</w:t>
      </w:r>
    </w:p>
    <w:p>
      <w:r>
        <w:br w:type="page"/>
      </w:r>
    </w:p>
    <w:p>
      <w:pPr>
        <w:pStyle w:val="Heading1"/>
        <w:spacing w:after="200" w:before="400"/>
      </w:pPr>
      <w:r>
        <w:rPr>
          <w:rFonts w:ascii="Arial" w:cs="Arial" w:eastAsia="Arial" w:hAnsi="Arial"/>
          <w:b/>
          <w:bCs/>
          <w:color w:val="0A2540"/>
          <w:sz w:val="30"/>
          <w:szCs w:val="30"/>
        </w:rPr>
        <w:t xml:space="preserve">Part I: Foundation</w:t>
      </w:r>
    </w:p>
    <w:p>
      <w:pPr>
        <w:pStyle w:val="Heading2"/>
        <w:spacing w:after="150" w:before="300"/>
      </w:pPr>
      <w:r>
        <w:rPr>
          <w:rFonts w:ascii="Arial" w:cs="Arial" w:eastAsia="Arial" w:hAnsi="Arial"/>
          <w:b/>
          <w:bCs/>
          <w:color w:val="0A2540"/>
          <w:sz w:val="24"/>
          <w:szCs w:val="24"/>
        </w:rPr>
        <w:t xml:space="preserve">1. Introduction: The Small State Paradox</w:t>
      </w:r>
    </w:p>
    <w:p>
      <w:pPr>
        <w:pStyle w:val="Heading3"/>
        <w:spacing w:after="100" w:before="200"/>
      </w:pPr>
      <w:r>
        <w:rPr>
          <w:rFonts w:ascii="Arial" w:cs="Arial" w:eastAsia="Arial" w:hAnsi="Arial"/>
          <w:b/>
          <w:bCs/>
          <w:color w:val="B8860B"/>
          <w:sz w:val="22"/>
          <w:szCs w:val="22"/>
        </w:rPr>
        <w:t xml:space="preserve">1.1 Defining the Small State</w:t>
      </w:r>
    </w:p>
    <w:p>
      <w:pPr>
        <w:spacing w:after="200" w:line="276"/>
        <w:jc w:val="both"/>
      </w:pPr>
      <w:r>
        <w:rPr>
          <w:rFonts w:ascii="Arial" w:cs="Arial" w:eastAsia="Arial" w:hAnsi="Arial"/>
          <w:b w:val="false"/>
          <w:bCs w:val="false"/>
          <w:i w:val="false"/>
          <w:iCs w:val="false"/>
          <w:color w:val="1A1A1A"/>
          <w:sz w:val="21"/>
          <w:szCs w:val="21"/>
        </w:rPr>
        <w:t xml:space="preserve">The literature lacks a universally accepted definition of a “small state.” Size has been measured by population, land area, GDP, or a composite index. The Commonwealth Secretariat traditionally uses a population threshold of 1.5 million or fewer, though this has been applied flexibly. For this white paper, we adopt a functional definition: small states are those whose limited demographic and economic scale creates structural vulnerabilities that distinguish them from larger economies, while simultaneously enabling institutional characteristics — agility, social cohesion, and streamlined governance — that larger states cannot easily replicate.</w:t>
      </w:r>
    </w:p>
    <w:p>
      <w:pPr>
        <w:spacing w:after="200" w:line="276"/>
        <w:jc w:val="both"/>
      </w:pPr>
      <w:r>
        <w:rPr>
          <w:rFonts w:ascii="Arial" w:cs="Arial" w:eastAsia="Arial" w:hAnsi="Arial"/>
          <w:b w:val="false"/>
          <w:bCs w:val="false"/>
          <w:i w:val="false"/>
          <w:iCs w:val="false"/>
          <w:color w:val="1A1A1A"/>
          <w:sz w:val="21"/>
          <w:szCs w:val="21"/>
        </w:rPr>
        <w:t xml:space="preserve">Globally, there are over 60 small states by this definition, spread across the Caribbean, Pacific, Indian Ocean, and parts of Europe and Asia. They represent a diverse group in terms of income levels, but share common challenges of openness, import dependence, and vulnerability to natural disasters and global market volatility.</w:t>
      </w:r>
    </w:p>
    <w:p>
      <w:pPr>
        <w:pStyle w:val="Heading3"/>
        <w:spacing w:after="100" w:before="200"/>
      </w:pPr>
      <w:r>
        <w:rPr>
          <w:rFonts w:ascii="Arial" w:cs="Arial" w:eastAsia="Arial" w:hAnsi="Arial"/>
          <w:b/>
          <w:bCs/>
          <w:color w:val="B8860B"/>
          <w:sz w:val="22"/>
          <w:szCs w:val="22"/>
        </w:rPr>
        <w:t xml:space="preserve">1.2 The Vulnerability Thesis</w:t>
      </w:r>
    </w:p>
    <w:p>
      <w:pPr>
        <w:spacing w:after="200" w:line="276"/>
        <w:jc w:val="both"/>
      </w:pPr>
      <w:r>
        <w:rPr>
          <w:rFonts w:ascii="Arial" w:cs="Arial" w:eastAsia="Arial" w:hAnsi="Arial"/>
          <w:b w:val="false"/>
          <w:bCs w:val="false"/>
          <w:i w:val="false"/>
          <w:iCs w:val="false"/>
          <w:color w:val="1A1A1A"/>
          <w:sz w:val="21"/>
          <w:szCs w:val="21"/>
        </w:rPr>
        <w:t xml:space="preserve">Small Island Developing States (SIDS) and other small economies face acute economic vulnerability tied to their small size, geographical isolation, and dependence on a narrow range of exports. They are disproportionately open and exposed to external and environmental shocks, with economies frequently under-diversified and highly dependent on volatile services exports, notably tourism. Geographic remoteness, high trade costs, and climate vulnerability remain persistent structural obstacles.</w:t>
      </w:r>
    </w:p>
    <w:p>
      <w:pPr>
        <w:spacing w:after="200" w:line="276"/>
        <w:jc w:val="both"/>
      </w:pPr>
      <w:r>
        <w:rPr>
          <w:rFonts w:ascii="Arial" w:cs="Arial" w:eastAsia="Arial" w:hAnsi="Arial"/>
          <w:b w:val="false"/>
          <w:bCs w:val="false"/>
          <w:i w:val="false"/>
          <w:iCs w:val="false"/>
          <w:color w:val="1A1A1A"/>
          <w:sz w:val="21"/>
          <w:szCs w:val="21"/>
        </w:rPr>
        <w:t xml:space="preserve">Foundational research (Briguglio, 1995) identified the characteristics that give rise to this economic sub-optimality: a narrow natural-resource base, limited domestic market demand, and insufficient infrastructure, which together make conventional structural transformation difficult to achieve at scale. Composite vulnerability indices developed by the Commonwealth and others have consistently ranked small states among the most exposed to external shocks.</w:t>
      </w:r>
    </w:p>
    <w:p>
      <w:pPr>
        <w:pStyle w:val="Heading3"/>
        <w:spacing w:after="100" w:before="200"/>
      </w:pPr>
      <w:r>
        <w:rPr>
          <w:rFonts w:ascii="Arial" w:cs="Arial" w:eastAsia="Arial" w:hAnsi="Arial"/>
          <w:b/>
          <w:bCs/>
          <w:color w:val="B8860B"/>
          <w:sz w:val="22"/>
          <w:szCs w:val="22"/>
        </w:rPr>
        <w:t xml:space="preserve">1.3 The Overlooked Advantages</w:t>
      </w:r>
    </w:p>
    <w:p>
      <w:pPr>
        <w:spacing w:after="200" w:line="276"/>
        <w:jc w:val="both"/>
      </w:pPr>
      <w:r>
        <w:rPr>
          <w:rFonts w:ascii="Arial" w:cs="Arial" w:eastAsia="Arial" w:hAnsi="Arial"/>
          <w:b w:val="false"/>
          <w:bCs w:val="false"/>
          <w:i w:val="false"/>
          <w:iCs w:val="false"/>
          <w:color w:val="1A1A1A"/>
          <w:sz w:val="21"/>
          <w:szCs w:val="21"/>
        </w:rPr>
        <w:t xml:space="preserve">Yet smallness is not merely a constraint — it is also a source of distinctive capability. Small states can often implement strategic changes rapidly, making them well-suited to capitalise on a fast-changing global economy. Efficient stakeholder networks and streamlined administrative systems, together with effective leadership, enable small states to move with an agility larger, more fragmented polities structurally cannot.</w:t>
      </w:r>
    </w:p>
    <w:p>
      <w:pPr>
        <w:spacing w:after="200" w:line="276"/>
        <w:jc w:val="both"/>
      </w:pPr>
      <w:r>
        <w:rPr>
          <w:rFonts w:ascii="Arial" w:cs="Arial" w:eastAsia="Arial" w:hAnsi="Arial"/>
          <w:b w:val="false"/>
          <w:bCs w:val="false"/>
          <w:i w:val="false"/>
          <w:iCs w:val="false"/>
          <w:color w:val="1A1A1A"/>
          <w:sz w:val="21"/>
          <w:szCs w:val="21"/>
        </w:rPr>
        <w:t xml:space="preserve">Smallness means government sits closer to the people, which can promote social cohesion, trust, and resilience — in turn increasing a small state's ability to solve coordination problems quickly. As Baldacchino (2021) puts it: small states cannot out-resource large powers, but they can out-govern them, moving faster, adapting quicker, and maintaining greater institutional coherence. This agility is a latent asset that, properly leveraged, becomes a competitive advantage precisely where rapid adaptation is increasingly the scarce resource.</w:t>
      </w:r>
    </w:p>
    <w:p>
      <w:pPr>
        <w:pStyle w:val="Heading3"/>
        <w:spacing w:after="100" w:before="200"/>
      </w:pPr>
      <w:r>
        <w:rPr>
          <w:rFonts w:ascii="Arial" w:cs="Arial" w:eastAsia="Arial" w:hAnsi="Arial"/>
          <w:b/>
          <w:bCs/>
          <w:color w:val="B8860B"/>
          <w:sz w:val="22"/>
          <w:szCs w:val="22"/>
        </w:rPr>
        <w:t xml:space="preserve">1.4 The Limits of Conventional Wisdom</w:t>
      </w:r>
    </w:p>
    <w:p>
      <w:pPr>
        <w:spacing w:after="200" w:line="276"/>
        <w:jc w:val="both"/>
      </w:pPr>
      <w:r>
        <w:rPr>
          <w:rFonts w:ascii="Arial" w:cs="Arial" w:eastAsia="Arial" w:hAnsi="Arial"/>
          <w:b w:val="false"/>
          <w:bCs w:val="false"/>
          <w:i w:val="false"/>
          <w:iCs w:val="false"/>
          <w:color w:val="1A1A1A"/>
          <w:sz w:val="21"/>
          <w:szCs w:val="21"/>
        </w:rPr>
        <w:t xml:space="preserve">The standard prescriptions for small states — export diversification, FDI attraction, tourism development — have been extensively critiqued. That some small states are competitive while others are not suggests size alone does not determine outcomes (Armstrong &amp; Read, 2000). Yet the diversification imperative has become close to axiomatic in development policy.</w:t>
      </w:r>
    </w:p>
    <w:p>
      <w:pPr>
        <w:spacing w:after="200" w:line="276"/>
        <w:jc w:val="both"/>
      </w:pPr>
      <w:r>
        <w:rPr>
          <w:rFonts w:ascii="Arial" w:cs="Arial" w:eastAsia="Arial" w:hAnsi="Arial"/>
          <w:b w:val="false"/>
          <w:bCs w:val="false"/>
          <w:i w:val="false"/>
          <w:iCs w:val="false"/>
          <w:color w:val="1A1A1A"/>
          <w:sz w:val="21"/>
          <w:szCs w:val="21"/>
        </w:rPr>
        <w:t xml:space="preserve">This white paper argues that the conventional wisdom, while not without merit, is insufficient for the challenges of the coming decade. The emergence of AI, the fragmentation of global supply chains, and the rise of digital sovereignty as a strategic imperative require fundamentally new approaches. When digital governance marginalises smaller states, it risks reproducing the very inequalities the internet once promised to transcend. Small states must therefore move beyond “catching up” and instead build their own pathways to prosperity.</w:t>
      </w:r>
    </w:p>
    <w:p>
      <w:pPr>
        <w:pStyle w:val="Heading2"/>
        <w:spacing w:after="150" w:before="300"/>
      </w:pPr>
      <w:r>
        <w:rPr>
          <w:rFonts w:ascii="Arial" w:cs="Arial" w:eastAsia="Arial" w:hAnsi="Arial"/>
          <w:b/>
          <w:bCs/>
          <w:color w:val="0A2540"/>
          <w:sz w:val="24"/>
          <w:szCs w:val="24"/>
        </w:rPr>
        <w:t xml:space="preserve">2. Methodology</w:t>
      </w:r>
    </w:p>
    <w:p>
      <w:pPr>
        <w:pStyle w:val="Heading3"/>
        <w:spacing w:after="100" w:before="200"/>
      </w:pPr>
      <w:r>
        <w:rPr>
          <w:rFonts w:ascii="Arial" w:cs="Arial" w:eastAsia="Arial" w:hAnsi="Arial"/>
          <w:b/>
          <w:bCs/>
          <w:color w:val="B8860B"/>
          <w:sz w:val="22"/>
          <w:szCs w:val="22"/>
        </w:rPr>
        <w:t xml:space="preserve">2.1 Research Approach</w:t>
      </w:r>
    </w:p>
    <w:p>
      <w:pPr>
        <w:spacing w:after="200" w:line="276"/>
        <w:jc w:val="both"/>
      </w:pPr>
      <w:r>
        <w:rPr>
          <w:rFonts w:ascii="Arial" w:cs="Arial" w:eastAsia="Arial" w:hAnsi="Arial"/>
          <w:b w:val="false"/>
          <w:bCs w:val="false"/>
          <w:i w:val="false"/>
          <w:iCs w:val="false"/>
          <w:color w:val="1A1A1A"/>
          <w:sz w:val="21"/>
          <w:szCs w:val="21"/>
        </w:rPr>
        <w:t xml:space="preserve">This white paper employs a mixed-methods approach combining a systematic literature review across international political economy, development economics, regulatory theory, digital governance, and institutional economics; comparative case analysis of small states that have leveraged their size-related advantages, including Singapore, Estonia, Mauritius, Switzerland, and Caribbean states; a policy-innovation framework proposing new policy architectures that extend beyond existing paradigms while building on established theoretical foundations; and synthesis showing how discrete policy innovations can integrate into a coherent national strategy.</w:t>
      </w:r>
    </w:p>
    <w:p>
      <w:pPr>
        <w:pStyle w:val="Heading3"/>
        <w:spacing w:after="100" w:before="200"/>
      </w:pPr>
      <w:r>
        <w:rPr>
          <w:rFonts w:ascii="Arial" w:cs="Arial" w:eastAsia="Arial" w:hAnsi="Arial"/>
          <w:b/>
          <w:bCs/>
          <w:color w:val="B8860B"/>
          <w:sz w:val="22"/>
          <w:szCs w:val="22"/>
        </w:rPr>
        <w:t xml:space="preserve">2.2 Case Selection</w:t>
      </w:r>
    </w:p>
    <w:p>
      <w:pPr>
        <w:spacing w:after="200" w:line="276"/>
        <w:jc w:val="both"/>
      </w:pPr>
      <w:r>
        <w:rPr>
          <w:rFonts w:ascii="Arial" w:cs="Arial" w:eastAsia="Arial" w:hAnsi="Arial"/>
          <w:b w:val="false"/>
          <w:bCs w:val="false"/>
          <w:i w:val="false"/>
          <w:iCs w:val="false"/>
          <w:color w:val="1A1A1A"/>
          <w:sz w:val="21"/>
          <w:szCs w:val="21"/>
        </w:rPr>
        <w:t xml:space="preserve">Case studies were selected for representativeness across diverse geographic regions, for demonstrating genuine policy innovation, for including both successful and challenged cases rather than success stories alone, and for sufficient data availability to support real analysis rather than assertion.</w:t>
      </w:r>
    </w:p>
    <w:p>
      <w:pPr>
        <w:pStyle w:val="Heading3"/>
        <w:spacing w:after="100" w:before="200"/>
      </w:pPr>
      <w:r>
        <w:rPr>
          <w:rFonts w:ascii="Arial" w:cs="Arial" w:eastAsia="Arial" w:hAnsi="Arial"/>
          <w:b/>
          <w:bCs/>
          <w:color w:val="B8860B"/>
          <w:sz w:val="22"/>
          <w:szCs w:val="22"/>
        </w:rPr>
        <w:t xml:space="preserve">2.3 Analytical Framework</w:t>
      </w:r>
    </w:p>
    <w:p>
      <w:pPr>
        <w:spacing w:after="200" w:line="276"/>
        <w:jc w:val="both"/>
      </w:pPr>
      <w:r>
        <w:rPr>
          <w:rFonts w:ascii="Arial" w:cs="Arial" w:eastAsia="Arial" w:hAnsi="Arial"/>
          <w:b w:val="false"/>
          <w:bCs w:val="false"/>
          <w:i w:val="false"/>
          <w:iCs w:val="false"/>
          <w:color w:val="1A1A1A"/>
          <w:sz w:val="21"/>
          <w:szCs w:val="21"/>
        </w:rPr>
        <w:t xml:space="preserve">The analysis is structured around four pillars that emerged from the intersection of the literature review and policy innovation. Each pillar is evaluated against three criteria: theoretical grounding (does the concept build on established academic literature), practical feasibility (can it be implemented by small states given real resource constraints), and transformative potential (does it fundamentally alter the small-state development trajectory, or merely adjust it at the margin).</w:t>
      </w:r>
    </w:p>
    <w:p>
      <w:r>
        <w:br w:type="page"/>
      </w:r>
    </w:p>
    <w:p>
      <w:pPr>
        <w:pStyle w:val="Heading1"/>
        <w:spacing w:after="200" w:before="400"/>
      </w:pPr>
      <w:r>
        <w:rPr>
          <w:rFonts w:ascii="Arial" w:cs="Arial" w:eastAsia="Arial" w:hAnsi="Arial"/>
          <w:b/>
          <w:bCs/>
          <w:color w:val="0A2540"/>
          <w:sz w:val="30"/>
          <w:szCs w:val="30"/>
        </w:rPr>
        <w:t xml:space="preserve">Part II: The Four Pillars</w:t>
      </w:r>
    </w:p>
    <w:p>
      <w:pPr>
        <w:pStyle w:val="Heading2"/>
        <w:spacing w:after="150" w:before="300"/>
      </w:pPr>
      <w:r>
        <w:rPr>
          <w:rFonts w:ascii="Arial" w:cs="Arial" w:eastAsia="Arial" w:hAnsi="Arial"/>
          <w:b/>
          <w:bCs/>
          <w:color w:val="0A2540"/>
          <w:sz w:val="24"/>
          <w:szCs w:val="24"/>
        </w:rPr>
        <w:t xml:space="preserve">3. Pillar One: Cognitive Sovereignty via Sovereign Data Trusts</w:t>
      </w:r>
    </w:p>
    <w:p>
      <w:pPr>
        <w:pStyle w:val="Heading3"/>
        <w:spacing w:after="100" w:before="200"/>
      </w:pPr>
      <w:r>
        <w:rPr>
          <w:rFonts w:ascii="Arial" w:cs="Arial" w:eastAsia="Arial" w:hAnsi="Arial"/>
          <w:b/>
          <w:bCs/>
          <w:color w:val="B8860B"/>
          <w:sz w:val="22"/>
          <w:szCs w:val="22"/>
        </w:rPr>
        <w:t xml:space="preserve">3.1 The Data Sovereignty Imperative</w:t>
      </w:r>
    </w:p>
    <w:p>
      <w:pPr>
        <w:spacing w:after="200" w:line="276"/>
        <w:jc w:val="both"/>
      </w:pPr>
      <w:r>
        <w:rPr>
          <w:rFonts w:ascii="Arial" w:cs="Arial" w:eastAsia="Arial" w:hAnsi="Arial"/>
          <w:b w:val="false"/>
          <w:bCs w:val="false"/>
          <w:i w:val="false"/>
          <w:iCs w:val="false"/>
          <w:color w:val="1A1A1A"/>
          <w:sz w:val="21"/>
          <w:szCs w:val="21"/>
        </w:rPr>
        <w:t xml:space="preserve">Digital sovereignty has entered global policy debates as governments grapple with how to govern their digital futures. For small states, digital sovereignty carries a different register than it does for great powers: it is not about geopolitical dominance or economic protectionism, but about survival and self-determination inside a deeply asymmetric system.</w:t>
      </w:r>
    </w:p>
    <w:p>
      <w:pPr>
        <w:spacing w:after="200" w:line="276"/>
        <w:jc w:val="both"/>
      </w:pPr>
      <w:r>
        <w:rPr>
          <w:rFonts w:ascii="Arial" w:cs="Arial" w:eastAsia="Arial" w:hAnsi="Arial"/>
          <w:b w:val="false"/>
          <w:bCs w:val="false"/>
          <w:i w:val="false"/>
          <w:iCs w:val="false"/>
          <w:color w:val="1A1A1A"/>
          <w:sz w:val="21"/>
          <w:szCs w:val="21"/>
        </w:rPr>
        <w:t xml:space="preserve">Digital sovereignty refers to a state's autonomous control over its digital means and activities. For many small states, that control is conditioned by dependency on foreign-owned cloud providers, donor-funded digital public infrastructure, or a neighbouring power's networks. This matters because the infrastructures of the digital state — identity systems, payment rails, data registries, communication networks — are not neutral. They embody the norms and interests of whoever designs and finances them (Zuboff, 2019).</w:t>
      </w:r>
    </w:p>
    <w:p>
      <w:pPr>
        <w:pStyle w:val="Heading3"/>
        <w:spacing w:after="100" w:before="200"/>
      </w:pPr>
      <w:r>
        <w:rPr>
          <w:rFonts w:ascii="Arial" w:cs="Arial" w:eastAsia="Arial" w:hAnsi="Arial"/>
          <w:b/>
          <w:bCs/>
          <w:color w:val="B8860B"/>
          <w:sz w:val="22"/>
          <w:szCs w:val="22"/>
        </w:rPr>
        <w:t xml:space="preserve">3.2 The Data Challenge in Small States</w:t>
      </w:r>
    </w:p>
    <w:p>
      <w:pPr>
        <w:spacing w:after="200" w:line="276"/>
        <w:jc w:val="both"/>
      </w:pPr>
      <w:r>
        <w:rPr>
          <w:rFonts w:ascii="Arial" w:cs="Arial" w:eastAsia="Arial" w:hAnsi="Arial"/>
          <w:b w:val="false"/>
          <w:bCs w:val="false"/>
          <w:i w:val="false"/>
          <w:iCs w:val="false"/>
          <w:color w:val="1A1A1A"/>
          <w:sz w:val="21"/>
          <w:szCs w:val="21"/>
        </w:rPr>
        <w:t xml:space="preserve">Small states face acute data-related challenges. Smaller populations produce smaller datasets, which can limit the effectiveness of AI models that require large volumes of training data, and access to the specialised datasets needed for specific AI applications is often limited, hindering tailored solutions. Small states also frequently face a shortage of skilled data science and machine learning professionals; limited career opportunities and competitive salaries can push skilled professionals toward larger markets, compounding the skills gap.</w:t>
      </w:r>
    </w:p>
    <w:p>
      <w:pPr>
        <w:spacing w:after="200" w:line="276"/>
        <w:jc w:val="both"/>
      </w:pPr>
      <w:r>
        <w:rPr>
          <w:rFonts w:ascii="Arial" w:cs="Arial" w:eastAsia="Arial" w:hAnsi="Arial"/>
          <w:b w:val="false"/>
          <w:bCs w:val="false"/>
          <w:i w:val="false"/>
          <w:iCs w:val="false"/>
          <w:color w:val="1A1A1A"/>
          <w:sz w:val="21"/>
          <w:szCs w:val="21"/>
        </w:rPr>
        <w:t xml:space="preserve">These same constraints create an opening. The right response is not to copy foreign models wholesale but to prioritise home-grown innovation designed for local context — insisting, in the Caribbean case, that solutions be designed in the Caribbean, for Caribbean contexts, rather than imported wholesale from jurisdictions with entirely different constraints.</w:t>
      </w:r>
    </w:p>
    <w:p>
      <w:pPr>
        <w:pStyle w:val="Heading3"/>
        <w:spacing w:after="100" w:before="200"/>
      </w:pPr>
      <w:r>
        <w:rPr>
          <w:rFonts w:ascii="Arial" w:cs="Arial" w:eastAsia="Arial" w:hAnsi="Arial"/>
          <w:b/>
          <w:bCs/>
          <w:color w:val="B8860B"/>
          <w:sz w:val="22"/>
          <w:szCs w:val="22"/>
        </w:rPr>
        <w:t xml:space="preserve">3.3 The Sovereign Data Trust Model</w:t>
      </w:r>
    </w:p>
    <w:p>
      <w:pPr>
        <w:spacing w:after="200" w:line="276"/>
        <w:jc w:val="both"/>
      </w:pPr>
      <w:r>
        <w:rPr>
          <w:rFonts w:ascii="Arial" w:cs="Arial" w:eastAsia="Arial" w:hAnsi="Arial"/>
          <w:b w:val="false"/>
          <w:bCs w:val="false"/>
          <w:i w:val="false"/>
          <w:iCs w:val="false"/>
          <w:color w:val="1A1A1A"/>
          <w:sz w:val="21"/>
          <w:szCs w:val="21"/>
        </w:rPr>
        <w:t xml:space="preserve">We propose the establishment of Sovereign Data Trusts — multilateral institutions through which small nations pool their regulatory and data-gathering capacities. These trusts would aggregate verified, anonymised national datasets from participating states, creating datasets of sufficient scale for effective AI training while preserving privacy and national security; license these datasets to AI laboratories, research institutions, and commercial entities under transparent, equitable terms, generating a recurring revenue stream that flows back to participating nations; establish governance standards for data collection, anonymisation, and ethical use, positioning small states as norm-setters rather than passive data providers; and create a multilateral framework protecting member states from exploitative data extraction by large technology firms.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left w:val="single" w:color="B8860B" w:sz="24"/>
            </w:tcBorders>
            <w:shd w:fill="F2F2F2" w:val="clear"/>
            <w:tcMar>
              <w:top w:type="dxa" w:w="200"/>
              <w:left w:type="dxa" w:w="240"/>
              <w:bottom w:type="dxa" w:w="200"/>
              <w:right w:type="dxa" w:w="240"/>
            </w:tcMar>
          </w:tcPr>
          <w:p>
            <w:pPr>
              <w:spacing w:after="80"/>
            </w:pPr>
            <w:r>
              <w:rPr>
                <w:rFonts w:ascii="Arial" w:cs="Arial" w:eastAsia="Arial" w:hAnsi="Arial"/>
                <w:b/>
                <w:bCs/>
                <w:color w:val="B8860B"/>
                <w:sz w:val="17"/>
                <w:szCs w:val="17"/>
              </w:rPr>
              <w:t xml:space="preserve">Illustrative Financial Scenario — Not a Forecast</w:t>
            </w:r>
          </w:p>
          <w:p>
            <w:pPr>
              <w:jc w:val="both"/>
            </w:pPr>
            <w:r>
              <w:rPr>
                <w:rFonts w:ascii="Arial" w:cs="Arial" w:eastAsia="Arial" w:hAnsi="Arial"/>
                <w:color w:val="1A1A1A"/>
                <w:sz w:val="20"/>
                <w:szCs w:val="20"/>
              </w:rPr>
              <w:t xml:space="preserve">A trust of ten small states, each contributing 1 million anonymised citizen records and 50,000 business records, could plausibly command licensing fees in the range of $5–10 million per year from major AI developers, split among members. Over a decade, that could total $50–100 million — potentially enough to fund meaningful national digital infrastructure upgrades. This is an illustrative order-of-magnitude scenario built on stated assumptions, not a market forecast or a commitment from any AI developer.</w:t>
            </w:r>
          </w:p>
        </w:tc>
      </w:tr>
    </w:tbl>
    <w:p>
      <w:pPr>
        <w:spacing w:after="200"/>
      </w:pPr>
    </w:p>
    <w:p>
      <w:pPr>
        <w:spacing w:after="200" w:line="276"/>
        <w:jc w:val="both"/>
      </w:pPr>
      <w:r>
        <w:rPr>
          <w:rFonts w:ascii="Arial" w:cs="Arial" w:eastAsia="Arial" w:hAnsi="Arial"/>
          <w:b/>
          <w:bCs/>
          <w:color w:val="1A1A1A"/>
          <w:sz w:val="21"/>
          <w:szCs w:val="21"/>
        </w:rPr>
        <w:t xml:space="preserve">Theoretical grounding: </w:t>
      </w:r>
      <w:r>
        <w:rPr>
          <w:rFonts w:ascii="Arial" w:cs="Arial" w:eastAsia="Arial" w:hAnsi="Arial"/>
          <w:color w:val="1A1A1A"/>
          <w:sz w:val="21"/>
          <w:szCs w:val="21"/>
        </w:rPr>
        <w:t xml:space="preserve">the Sovereign Data Trust draws on Ostrom's (1990) work on common-pool resource governance, applying her principles of collective action to the digital domain, and inverts Zuboff's (2019) critique of surveillance capitalism by making data subjects — the small states themselves — collective owners and beneficiaries of their own data assets.</w:t>
      </w:r>
    </w:p>
    <w:p>
      <w:pPr>
        <w:spacing w:after="200" w:line="276"/>
        <w:jc w:val="both"/>
      </w:pPr>
      <w:r>
        <w:rPr>
          <w:rFonts w:ascii="Arial" w:cs="Arial" w:eastAsia="Arial" w:hAnsi="Arial"/>
          <w:b/>
          <w:bCs/>
          <w:color w:val="1A1A1A"/>
          <w:sz w:val="21"/>
          <w:szCs w:val="21"/>
        </w:rPr>
        <w:t xml:space="preserve">Practical feasibility: </w:t>
      </w:r>
      <w:r>
        <w:rPr>
          <w:rFonts w:ascii="Arial" w:cs="Arial" w:eastAsia="Arial" w:hAnsi="Arial"/>
          <w:color w:val="1A1A1A"/>
          <w:sz w:val="21"/>
          <w:szCs w:val="21"/>
        </w:rPr>
        <w:t xml:space="preserve">several small states already possess sophisticated digital identity and e-governance systems (Estonia, Singapore, Mauritius). The trust model requires incremental investment in data standardisation and legal harmonisation rather than building from zero. Pilot projects could plausibly be initiated among Caribbean or Pacific island groupings, leveraging existing regional organisations such as CARICOM or the Pacific Islands Forum.</w:t>
      </w:r>
    </w:p>
    <w:p>
      <w:pPr>
        <w:pStyle w:val="Heading3"/>
        <w:spacing w:after="100" w:before="200"/>
      </w:pPr>
      <w:r>
        <w:rPr>
          <w:rFonts w:ascii="Arial" w:cs="Arial" w:eastAsia="Arial" w:hAnsi="Arial"/>
          <w:b/>
          <w:bCs/>
          <w:color w:val="B8860B"/>
          <w:sz w:val="22"/>
          <w:szCs w:val="22"/>
        </w:rPr>
        <w:t xml:space="preserve">3.4 Case Prototype: A Caribbean Data Federation</w:t>
      </w:r>
    </w:p>
    <w:p>
      <w:pPr>
        <w:spacing w:after="200" w:line="276"/>
        <w:jc w:val="both"/>
      </w:pPr>
      <w:r>
        <w:rPr>
          <w:rFonts w:ascii="Arial" w:cs="Arial" w:eastAsia="Arial" w:hAnsi="Arial"/>
          <w:b w:val="false"/>
          <w:bCs w:val="false"/>
          <w:i w:val="false"/>
          <w:iCs w:val="false"/>
          <w:color w:val="1A1A1A"/>
          <w:sz w:val="21"/>
          <w:szCs w:val="21"/>
        </w:rPr>
        <w:t xml:space="preserve">CARICOM has pursued a digital agenda aimed at harmonising health and climate data across member states. Building on this foundation, a Caribbean Data Trust focused initially on climate-resilience and public-health datasets is a plausible near-term pilot. A pooled regional dataset would be among the more comprehensive available for tropical disease modelling and hurricane prediction, potentially valuable to climate research institutes and insurers. Whether this early-mover positioning translates into actual research funding and licensing revenue is untested and should be treated as a hypothesis for a pilot to test, not a result already achieved.</w:t>
      </w:r>
    </w:p>
    <w:p>
      <w:r>
        <w:br w:type="page"/>
      </w:r>
    </w:p>
    <w:p>
      <w:pPr>
        <w:pStyle w:val="Heading2"/>
        <w:spacing w:after="150" w:before="300"/>
      </w:pPr>
      <w:r>
        <w:rPr>
          <w:rFonts w:ascii="Arial" w:cs="Arial" w:eastAsia="Arial" w:hAnsi="Arial"/>
          <w:b/>
          <w:bCs/>
          <w:color w:val="0A2540"/>
          <w:sz w:val="24"/>
          <w:szCs w:val="24"/>
        </w:rPr>
        <w:t xml:space="preserve">4. Pillar Two: Resilience-as-a-Service (RaaS)</w:t>
      </w:r>
    </w:p>
    <w:p>
      <w:pPr>
        <w:pStyle w:val="Heading3"/>
        <w:spacing w:after="100" w:before="200"/>
      </w:pPr>
      <w:r>
        <w:rPr>
          <w:rFonts w:ascii="Arial" w:cs="Arial" w:eastAsia="Arial" w:hAnsi="Arial"/>
          <w:b/>
          <w:bCs/>
          <w:color w:val="B8860B"/>
          <w:sz w:val="22"/>
          <w:szCs w:val="22"/>
        </w:rPr>
        <w:t xml:space="preserve">4.1 Rethinking the “Agility Advantage”</w:t>
      </w:r>
    </w:p>
    <w:p>
      <w:pPr>
        <w:spacing w:after="200" w:line="276"/>
        <w:jc w:val="both"/>
      </w:pPr>
      <w:r>
        <w:rPr>
          <w:rFonts w:ascii="Arial" w:cs="Arial" w:eastAsia="Arial" w:hAnsi="Arial"/>
          <w:b w:val="false"/>
          <w:bCs w:val="false"/>
          <w:i w:val="false"/>
          <w:iCs w:val="false"/>
          <w:color w:val="1A1A1A"/>
          <w:sz w:val="21"/>
          <w:szCs w:val="21"/>
        </w:rPr>
        <w:t xml:space="preserve">The literature consistently identifies institutional agility — the ability to implement policy changes rapidly — as a distinctive small-state strength. Social cohesion, streamlined decision-making, and close government-citizen linkages let small states respond to crises with a speed larger, more complex polities structurally cannot match.</w:t>
      </w:r>
    </w:p>
    <w:p>
      <w:pPr>
        <w:spacing w:after="200" w:line="276"/>
        <w:jc w:val="both"/>
      </w:pPr>
      <w:r>
        <w:rPr>
          <w:rFonts w:ascii="Arial" w:cs="Arial" w:eastAsia="Arial" w:hAnsi="Arial"/>
          <w:b w:val="false"/>
          <w:bCs w:val="false"/>
          <w:i w:val="false"/>
          <w:iCs w:val="false"/>
          <w:color w:val="1A1A1A"/>
          <w:sz w:val="21"/>
          <w:szCs w:val="21"/>
        </w:rPr>
        <w:t xml:space="preserve">The existing discourse largely treats agility as a domestic benefit — a shield against vulnerability. We argue it can also be an exportable asset: a source of knowledge rents that generates high-margin revenue while advancing global resilience. This reframing moves small states from the role of aid recipient toward that of advisor and partner.</w:t>
      </w:r>
    </w:p>
    <w:p>
      <w:pPr>
        <w:pStyle w:val="Heading3"/>
        <w:spacing w:after="100" w:before="200"/>
      </w:pPr>
      <w:r>
        <w:rPr>
          <w:rFonts w:ascii="Arial" w:cs="Arial" w:eastAsia="Arial" w:hAnsi="Arial"/>
          <w:b/>
          <w:bCs/>
          <w:color w:val="B8860B"/>
          <w:sz w:val="22"/>
          <w:szCs w:val="22"/>
        </w:rPr>
        <w:t xml:space="preserve">4.2 The RaaS Framework</w:t>
      </w:r>
    </w:p>
    <w:p>
      <w:pPr>
        <w:spacing w:after="200" w:line="276"/>
        <w:jc w:val="both"/>
      </w:pPr>
      <w:r>
        <w:rPr>
          <w:rFonts w:ascii="Arial" w:cs="Arial" w:eastAsia="Arial" w:hAnsi="Arial"/>
          <w:b w:val="false"/>
          <w:bCs w:val="false"/>
          <w:i w:val="false"/>
          <w:iCs w:val="false"/>
          <w:color w:val="1A1A1A"/>
          <w:sz w:val="21"/>
          <w:szCs w:val="21"/>
        </w:rPr>
        <w:t xml:space="preserve">Resilience-as-a-Service is a framework through which small states package their crisis-response playbooks, regulatory sandboxes, and rapid-policy-iteration models as consulting products for larger, slower nations. Offerings would include codified crisis-response playbooks for pandemic management, financial contagion control, natural disaster recovery, and cyberattack mitigation, developed and stress-tested in small-state environments; regulatory sandbox design, adapting small-state pioneering models such as Singapore's FinTech Sandbox or Mauritius's regulatory sandbox for fintech, healthtech, and AI innovation; policy iteration methodologies for rapid feedback and stakeholder engagement that leverage small-state social cohesion toward outcomes difficult to achieve in fragmented large polities; and resilience metrics and benchmarking frameworks that let larger states measure their own resilience gaps over time.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left w:val="single" w:color="B8860B" w:sz="24"/>
            </w:tcBorders>
            <w:shd w:fill="F2F2F2" w:val="clear"/>
            <w:tcMar>
              <w:top w:type="dxa" w:w="200"/>
              <w:left w:type="dxa" w:w="240"/>
              <w:bottom w:type="dxa" w:w="200"/>
              <w:right w:type="dxa" w:w="240"/>
            </w:tcMar>
          </w:tcPr>
          <w:p>
            <w:pPr>
              <w:spacing w:after="80"/>
            </w:pPr>
            <w:r>
              <w:rPr>
                <w:rFonts w:ascii="Arial" w:cs="Arial" w:eastAsia="Arial" w:hAnsi="Arial"/>
                <w:b/>
                <w:bCs/>
                <w:color w:val="B8860B"/>
                <w:sz w:val="17"/>
                <w:szCs w:val="17"/>
              </w:rPr>
              <w:t xml:space="preserve">Illustrative Financial Scenario — Not a Forecast</w:t>
            </w:r>
          </w:p>
          <w:p>
            <w:pPr>
              <w:jc w:val="both"/>
            </w:pPr>
            <w:r>
              <w:rPr>
                <w:rFonts w:ascii="Arial" w:cs="Arial" w:eastAsia="Arial" w:hAnsi="Arial"/>
                <w:color w:val="1A1A1A"/>
                <w:sz w:val="20"/>
                <w:szCs w:val="20"/>
              </w:rPr>
              <w:t xml:space="preserve">RaaS engagements could plausibly be structured as multi-year transformation contracts with fees from $500,000 to $5 million per project depending on scope. A small state operating a dedicated RaaS unit of 20–30 experts could, under favourable conditions, generate $10–20 million annually in exports with low marginal replication costs. As with the data trust figures above, this is an illustrative model, not a projection any state should rely on for budgeting.</w:t>
            </w:r>
          </w:p>
        </w:tc>
      </w:tr>
    </w:tbl>
    <w:p>
      <w:pPr>
        <w:spacing w:after="200"/>
      </w:pPr>
    </w:p>
    <w:p>
      <w:pPr>
        <w:spacing w:after="200" w:line="276"/>
        <w:jc w:val="both"/>
      </w:pPr>
      <w:r>
        <w:rPr>
          <w:rFonts w:ascii="Arial" w:cs="Arial" w:eastAsia="Arial" w:hAnsi="Arial"/>
          <w:b/>
          <w:bCs/>
          <w:color w:val="1A1A1A"/>
          <w:sz w:val="21"/>
          <w:szCs w:val="21"/>
        </w:rPr>
        <w:t xml:space="preserve">Theoretical grounding: </w:t>
      </w:r>
      <w:r>
        <w:rPr>
          <w:rFonts w:ascii="Arial" w:cs="Arial" w:eastAsia="Arial" w:hAnsi="Arial"/>
          <w:color w:val="1A1A1A"/>
          <w:sz w:val="21"/>
          <w:szCs w:val="21"/>
        </w:rPr>
        <w:t xml:space="preserve">RaaS builds on the knowledge economy literature (Foray, 2004) and the concept of knowledge rents in international trade (Grossman &amp; Helpman, 1991), and draws on institutional isomorphism theory (DiMaggio &amp; Powell, 1983) — the idea that smaller, more agile institutions can become models larger institutions come to emulate.</w:t>
      </w:r>
    </w:p>
    <w:p>
      <w:pPr>
        <w:spacing w:after="200" w:line="276"/>
        <w:jc w:val="both"/>
      </w:pPr>
      <w:r>
        <w:rPr>
          <w:rFonts w:ascii="Arial" w:cs="Arial" w:eastAsia="Arial" w:hAnsi="Arial"/>
          <w:b/>
          <w:bCs/>
          <w:color w:val="1A1A1A"/>
          <w:sz w:val="21"/>
          <w:szCs w:val="21"/>
        </w:rPr>
        <w:t xml:space="preserve">Practical feasibility: </w:t>
      </w:r>
      <w:r>
        <w:rPr>
          <w:rFonts w:ascii="Arial" w:cs="Arial" w:eastAsia="Arial" w:hAnsi="Arial"/>
          <w:color w:val="1A1A1A"/>
          <w:sz w:val="21"/>
          <w:szCs w:val="21"/>
        </w:rPr>
        <w:t xml:space="preserve">several small states already export advisory services in niche areas — Switzerland's governance advisory, Singapore's urban planning consultancy. RaaS formalises and scales an existing pattern rather than inventing a new one; the main upfront cost is documentation, training, and a digital delivery platform, with low marginal cost thereafter.</w:t>
      </w:r>
    </w:p>
    <w:p>
      <w:pPr>
        <w:pStyle w:val="Heading3"/>
        <w:spacing w:after="100" w:before="200"/>
      </w:pPr>
      <w:r>
        <w:rPr>
          <w:rFonts w:ascii="Arial" w:cs="Arial" w:eastAsia="Arial" w:hAnsi="Arial"/>
          <w:b/>
          <w:bCs/>
          <w:color w:val="B8860B"/>
          <w:sz w:val="22"/>
          <w:szCs w:val="22"/>
        </w:rPr>
        <w:t xml:space="preserve">4.3 Case Prototype: Pandemic Response Playbooks</w:t>
      </w:r>
    </w:p>
    <w:p>
      <w:pPr>
        <w:spacing w:after="200" w:line="276"/>
        <w:jc w:val="both"/>
      </w:pPr>
      <w:r>
        <w:rPr>
          <w:rFonts w:ascii="Arial" w:cs="Arial" w:eastAsia="Arial" w:hAnsi="Arial"/>
          <w:b w:val="false"/>
          <w:bCs w:val="false"/>
          <w:i w:val="false"/>
          <w:iCs w:val="false"/>
          <w:color w:val="1A1A1A"/>
          <w:sz w:val="21"/>
          <w:szCs w:val="21"/>
        </w:rPr>
        <w:t xml:space="preserve">Several Caribbean small states implemented rapid border closures, aggressive testing and tracing, and community-based health outreach during COVID-19 with results that, in places, compared favourably to larger neighbours. Codifying that experience into a documented, licensable playbook is a plausible RaaS offering with genuine underlying substance — a considered response to a real crisis, developed under real constraints, rather than an untested theoretical construct.</w:t>
      </w:r>
    </w:p>
    <w:p>
      <w:r>
        <w:br w:type="page"/>
      </w:r>
    </w:p>
    <w:p>
      <w:pPr>
        <w:pStyle w:val="Heading2"/>
        <w:spacing w:after="150" w:before="300"/>
      </w:pPr>
      <w:r>
        <w:rPr>
          <w:rFonts w:ascii="Arial" w:cs="Arial" w:eastAsia="Arial" w:hAnsi="Arial"/>
          <w:b/>
          <w:bCs/>
          <w:color w:val="0A2540"/>
          <w:sz w:val="24"/>
          <w:szCs w:val="24"/>
        </w:rPr>
        <w:t xml:space="preserve">5. Pillar Three: Norm Arbitrage</w:t>
      </w:r>
    </w:p>
    <w:p>
      <w:pPr>
        <w:pStyle w:val="Heading3"/>
        <w:spacing w:after="100" w:before="200"/>
      </w:pPr>
      <w:r>
        <w:rPr>
          <w:rFonts w:ascii="Arial" w:cs="Arial" w:eastAsia="Arial" w:hAnsi="Arial"/>
          <w:b/>
          <w:bCs/>
          <w:color w:val="B8860B"/>
          <w:sz w:val="22"/>
          <w:szCs w:val="22"/>
        </w:rPr>
        <w:t xml:space="preserve">5.1 Beyond Regulatory Arbitrage</w:t>
      </w:r>
    </w:p>
    <w:p>
      <w:pPr>
        <w:spacing w:after="200" w:line="276"/>
        <w:jc w:val="both"/>
      </w:pPr>
      <w:r>
        <w:rPr>
          <w:rFonts w:ascii="Arial" w:cs="Arial" w:eastAsia="Arial" w:hAnsi="Arial"/>
          <w:b w:val="false"/>
          <w:bCs w:val="false"/>
          <w:i w:val="false"/>
          <w:iCs w:val="false"/>
          <w:color w:val="1A1A1A"/>
          <w:sz w:val="21"/>
          <w:szCs w:val="21"/>
        </w:rPr>
        <w:t xml:space="preserve">Regulatory arbitrage — exploiting differences in national regulations — has traditionally meant a race to the bottom, with small jurisdictions competing on tax rates, financial secrecy, or lax enforcement. That strategy is increasingly unsustainable given international pressure (OECD, 2021), reputational risk, and the steady erosion of classic tax-haven models.</w:t>
      </w:r>
    </w:p>
    <w:p>
      <w:pPr>
        <w:spacing w:after="200" w:line="276"/>
        <w:jc w:val="both"/>
      </w:pPr>
      <w:r>
        <w:rPr>
          <w:rFonts w:ascii="Arial" w:cs="Arial" w:eastAsia="Arial" w:hAnsi="Arial"/>
          <w:b w:val="false"/>
          <w:bCs w:val="false"/>
          <w:i w:val="false"/>
          <w:iCs w:val="false"/>
          <w:color w:val="1A1A1A"/>
          <w:sz w:val="21"/>
          <w:szCs w:val="21"/>
        </w:rPr>
        <w:t xml:space="preserve">We propose a different approach: norm arbitrage. Rather than lowering standards to attract business, small states should systematically identify regulatory voids — emerging global issues for which no international legal framework yet exists — and become the first-mover jurisdiction to build a comprehensive legal structure that provides clarity, security, and legitimacy. This is a race to the top on regulatory quality and timeliness, not a race to the bottom on stringency.</w:t>
      </w:r>
    </w:p>
    <w:p>
      <w:pPr>
        <w:pStyle w:val="Heading3"/>
        <w:spacing w:after="100" w:before="200"/>
      </w:pPr>
      <w:r>
        <w:rPr>
          <w:rFonts w:ascii="Arial" w:cs="Arial" w:eastAsia="Arial" w:hAnsi="Arial"/>
          <w:b/>
          <w:bCs/>
          <w:color w:val="B8860B"/>
          <w:sz w:val="22"/>
          <w:szCs w:val="22"/>
        </w:rPr>
        <w:t xml:space="preserve">5.2 Identifying Normative Voids</w:t>
      </w:r>
    </w:p>
    <w:p>
      <w:pPr>
        <w:spacing w:after="200" w:line="276"/>
        <w:jc w:val="both"/>
      </w:pPr>
      <w:r>
        <w:rPr>
          <w:rFonts w:ascii="Arial" w:cs="Arial" w:eastAsia="Arial" w:hAnsi="Arial"/>
          <w:b w:val="false"/>
          <w:bCs w:val="false"/>
          <w:i w:val="false"/>
          <w:iCs w:val="false"/>
          <w:color w:val="1A1A1A"/>
          <w:sz w:val="21"/>
          <w:szCs w:val="21"/>
        </w:rPr>
        <w:t xml:space="preserve">Candidate regulatory voids ripe for norm arbitrage include orbital debris liability, as satellite constellations multiply toward a projected 10,000-plus active satellites by 2030 with no clear international liability regime for collision damage or clean-up; AI safety certification, where standards remain fragmented and contested and many jurisdictions lack any framework at all; digital inheritance, where most jurisdictions still lack clear rules for transferring crypto, NFTs, or social media accounts upon death; autonomous vehicle liability in international transit, largely undefined; and carbon removal credit verification and trading, still largely unregulated globally.</w:t>
      </w:r>
    </w:p>
    <w:p>
      <w:pPr>
        <w:pStyle w:val="Heading3"/>
        <w:spacing w:after="100" w:before="200"/>
      </w:pPr>
      <w:r>
        <w:rPr>
          <w:rFonts w:ascii="Arial" w:cs="Arial" w:eastAsia="Arial" w:hAnsi="Arial"/>
          <w:b/>
          <w:bCs/>
          <w:color w:val="B8860B"/>
          <w:sz w:val="22"/>
          <w:szCs w:val="22"/>
        </w:rPr>
        <w:t xml:space="preserve">5.3 The First-Mover Advantage</w:t>
      </w:r>
    </w:p>
    <w:p>
      <w:pPr>
        <w:spacing w:after="200" w:line="276"/>
        <w:jc w:val="both"/>
      </w:pPr>
      <w:r>
        <w:rPr>
          <w:rFonts w:ascii="Arial" w:cs="Arial" w:eastAsia="Arial" w:hAnsi="Arial"/>
          <w:b w:val="false"/>
          <w:bCs w:val="false"/>
          <w:i w:val="false"/>
          <w:iCs w:val="false"/>
          <w:color w:val="1A1A1A"/>
          <w:sz w:val="21"/>
          <w:szCs w:val="21"/>
        </w:rPr>
        <w:t xml:space="preserve">A small state that establishes the first comprehensive legal framework for any of these issues can attract global registration fees as companies and individuals seeking legal clarity register their activities there; develop jurisdictional branding, becoming known as the place for a given certification or liability regime; export the model to other jurisdictions as an advisory service once others adopt similar frameworks; and shape global standards, since first-mover frameworks often become de facto benchmarks in international negotiations.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left w:val="single" w:color="B8860B" w:sz="24"/>
            </w:tcBorders>
            <w:shd w:fill="F2F2F2" w:val="clear"/>
            <w:tcMar>
              <w:top w:type="dxa" w:w="200"/>
              <w:left w:type="dxa" w:w="240"/>
              <w:bottom w:type="dxa" w:w="200"/>
              <w:right w:type="dxa" w:w="240"/>
            </w:tcMar>
          </w:tcPr>
          <w:p>
            <w:pPr>
              <w:spacing w:after="80"/>
            </w:pPr>
            <w:r>
              <w:rPr>
                <w:rFonts w:ascii="Arial" w:cs="Arial" w:eastAsia="Arial" w:hAnsi="Arial"/>
                <w:b/>
                <w:bCs/>
                <w:color w:val="B8860B"/>
                <w:sz w:val="17"/>
                <w:szCs w:val="17"/>
              </w:rPr>
              <w:t xml:space="preserve">Illustrative Financial Scenario — Not a Forecast</w:t>
            </w:r>
          </w:p>
          <w:p>
            <w:pPr>
              <w:jc w:val="both"/>
            </w:pPr>
            <w:r>
              <w:rPr>
                <w:rFonts w:ascii="Arial" w:cs="Arial" w:eastAsia="Arial" w:hAnsi="Arial"/>
                <w:color w:val="1A1A1A"/>
                <w:sz w:val="20"/>
                <w:szCs w:val="20"/>
              </w:rPr>
              <w:t xml:space="preserve">A small state capturing 1–2% of a hypothetical $50 billion global AI safety certification market by 2035 would see $500 million to $1 billion annually in fees under that scenario; orbital liability registration could plausibly attract $100–200 million per year from commercial satellite operators under comparably favourable assumptions. Both the underlying market-size figures and the capture-rate assumptions are illustrative constructs for this paper, not third-party market research, and should not be treated as verified projections.</w:t>
            </w:r>
          </w:p>
        </w:tc>
      </w:tr>
    </w:tbl>
    <w:p>
      <w:pPr>
        <w:spacing w:after="200"/>
      </w:pPr>
    </w:p>
    <w:p>
      <w:pPr>
        <w:spacing w:after="200" w:line="276"/>
        <w:jc w:val="both"/>
      </w:pPr>
      <w:r>
        <w:rPr>
          <w:rFonts w:ascii="Arial" w:cs="Arial" w:eastAsia="Arial" w:hAnsi="Arial"/>
          <w:b/>
          <w:bCs/>
          <w:color w:val="1A1A1A"/>
          <w:sz w:val="21"/>
          <w:szCs w:val="21"/>
        </w:rPr>
        <w:t xml:space="preserve">Theoretical grounding: </w:t>
      </w:r>
      <w:r>
        <w:rPr>
          <w:rFonts w:ascii="Arial" w:cs="Arial" w:eastAsia="Arial" w:hAnsi="Arial"/>
          <w:color w:val="1A1A1A"/>
          <w:sz w:val="21"/>
          <w:szCs w:val="21"/>
        </w:rPr>
        <w:t xml:space="preserve">norm arbitrage builds on Finnemore and Sikkink's (1998) work on norm entrepreneurship, extending it from civil society actors to states, and draws on the regulatory competition literature (Vogel, 1995) while inverting its logic — competing on timeliness and clarity rather than on lowered stringency.</w:t>
      </w:r>
    </w:p>
    <w:p>
      <w:pPr>
        <w:spacing w:after="200" w:line="276"/>
        <w:jc w:val="both"/>
      </w:pPr>
      <w:r>
        <w:rPr>
          <w:rFonts w:ascii="Arial" w:cs="Arial" w:eastAsia="Arial" w:hAnsi="Arial"/>
          <w:b/>
          <w:bCs/>
          <w:color w:val="1A1A1A"/>
          <w:sz w:val="21"/>
          <w:szCs w:val="21"/>
        </w:rPr>
        <w:t xml:space="preserve">Practical feasibility: </w:t>
      </w:r>
      <w:r>
        <w:rPr>
          <w:rFonts w:ascii="Arial" w:cs="Arial" w:eastAsia="Arial" w:hAnsi="Arial"/>
          <w:color w:val="1A1A1A"/>
          <w:sz w:val="21"/>
          <w:szCs w:val="21"/>
        </w:rPr>
        <w:t xml:space="preserve">a small state with credible legal institutions and an agile legislature can pass enabling legislation within months at low direct cost; the return, if the jurisdiction achieves genuine first-mover status, is potentially very large relative to that cost.</w:t>
      </w:r>
    </w:p>
    <w:p>
      <w:pPr>
        <w:pStyle w:val="Heading3"/>
        <w:spacing w:after="100" w:before="200"/>
      </w:pPr>
      <w:r>
        <w:rPr>
          <w:rFonts w:ascii="Arial" w:cs="Arial" w:eastAsia="Arial" w:hAnsi="Arial"/>
          <w:b/>
          <w:bCs/>
          <w:color w:val="B8860B"/>
          <w:sz w:val="22"/>
          <w:szCs w:val="22"/>
        </w:rPr>
        <w:t xml:space="preserve">5.4 Case Prototype: Estonia's Digital Identity Framework</w:t>
      </w:r>
    </w:p>
    <w:p>
      <w:pPr>
        <w:spacing w:after="200" w:line="276"/>
        <w:jc w:val="both"/>
      </w:pPr>
      <w:r>
        <w:rPr>
          <w:rFonts w:ascii="Arial" w:cs="Arial" w:eastAsia="Arial" w:hAnsi="Arial"/>
          <w:b w:val="false"/>
          <w:bCs w:val="false"/>
          <w:i w:val="false"/>
          <w:iCs w:val="false"/>
          <w:color w:val="1A1A1A"/>
          <w:sz w:val="21"/>
          <w:szCs w:val="21"/>
        </w:rPr>
        <w:t xml:space="preserve">Estonia's e-Residency programme, launched in 2014, created a global legal framework for digital identity that other states have since referenced or adapted. It is a genuine, documented example of norm arbitrage: Estonia identified a void — transnational digital identity — and filled it first. As of 2026, more than 130,000 e-residents from over 180 countries have registered, founding more than 37,000 companies, contributing meaningfully to Estonia's economy through business registration and tax revenue. This is real, verifiable evidence that the pattern this pillar describes has already worked at least once, in at least one domain — not a guarantee it transfers cleanly to orbital debris or AI certification, which involve different actors and different stakes.</w:t>
      </w:r>
    </w:p>
    <w:p>
      <w:r>
        <w:br w:type="page"/>
      </w:r>
    </w:p>
    <w:p>
      <w:pPr>
        <w:pStyle w:val="Heading2"/>
        <w:spacing w:after="150" w:before="300"/>
      </w:pPr>
      <w:r>
        <w:rPr>
          <w:rFonts w:ascii="Arial" w:cs="Arial" w:eastAsia="Arial" w:hAnsi="Arial"/>
          <w:b/>
          <w:bCs/>
          <w:color w:val="0A2540"/>
          <w:sz w:val="24"/>
          <w:szCs w:val="24"/>
        </w:rPr>
        <w:t xml:space="preserve">6. Pillar Four: Strategic Monoculture 2.0</w:t>
      </w:r>
    </w:p>
    <w:p>
      <w:pPr>
        <w:pStyle w:val="Heading3"/>
        <w:spacing w:after="100" w:before="200"/>
      </w:pPr>
      <w:r>
        <w:rPr>
          <w:rFonts w:ascii="Arial" w:cs="Arial" w:eastAsia="Arial" w:hAnsi="Arial"/>
          <w:b/>
          <w:bCs/>
          <w:color w:val="B8860B"/>
          <w:sz w:val="22"/>
          <w:szCs w:val="22"/>
        </w:rPr>
        <w:t xml:space="preserve">6.1 Challenging the Diversification Dogma</w:t>
      </w:r>
    </w:p>
    <w:p>
      <w:pPr>
        <w:spacing w:after="200" w:line="276"/>
        <w:jc w:val="both"/>
      </w:pPr>
      <w:r>
        <w:rPr>
          <w:rFonts w:ascii="Arial" w:cs="Arial" w:eastAsia="Arial" w:hAnsi="Arial"/>
          <w:b w:val="false"/>
          <w:bCs w:val="false"/>
          <w:i w:val="false"/>
          <w:iCs w:val="false"/>
          <w:color w:val="1A1A1A"/>
          <w:sz w:val="21"/>
          <w:szCs w:val="21"/>
        </w:rPr>
        <w:t xml:space="preserve">Conventional development economics prescribes diversification as the primary remedy for small-state vulnerability: a narrow export base exposes an economy to terms-of-trade shocks, and diversification spreads that risk. The logic is intuitive, and it is not wrong on its own terms.</w:t>
      </w:r>
    </w:p>
    <w:p>
      <w:pPr>
        <w:spacing w:after="200" w:line="276"/>
        <w:jc w:val="both"/>
      </w:pPr>
      <w:r>
        <w:rPr>
          <w:rFonts w:ascii="Arial" w:cs="Arial" w:eastAsia="Arial" w:hAnsi="Arial"/>
          <w:b w:val="false"/>
          <w:bCs w:val="false"/>
          <w:i w:val="false"/>
          <w:iCs w:val="false"/>
          <w:color w:val="1A1A1A"/>
          <w:sz w:val="21"/>
          <w:szCs w:val="21"/>
        </w:rPr>
        <w:t xml:space="preserve">We argue that in an era of AI, automation, and concentrated supply chains, selective concentration may in specific cases be a superior strategy. If a small state can achieve very high global market share in a single hyper-niche vertical of the future economy, it can generate rents sufficient to buffer against shocks and fund domestic development. This is not traditional monoculture in the sugarcane-or-tourism sense, but a deliberate strategy of dominating a critical future supply chain where the state holds a genuinely difficult-to-replicate comparative advantage.</w:t>
      </w:r>
    </w:p>
    <w:p>
      <w:pPr>
        <w:pStyle w:val="Heading3"/>
        <w:spacing w:after="100" w:before="200"/>
      </w:pPr>
      <w:r>
        <w:rPr>
          <w:rFonts w:ascii="Arial" w:cs="Arial" w:eastAsia="Arial" w:hAnsi="Arial"/>
          <w:b/>
          <w:bCs/>
          <w:color w:val="B8860B"/>
          <w:sz w:val="22"/>
          <w:szCs w:val="22"/>
        </w:rPr>
        <w:t xml:space="preserve">6.2 Identifying Candidate Niches</w:t>
      </w:r>
    </w:p>
    <w:p>
      <w:pPr>
        <w:spacing w:after="200" w:line="276"/>
        <w:jc w:val="both"/>
      </w:pPr>
      <w:r>
        <w:rPr>
          <w:rFonts w:ascii="Arial" w:cs="Arial" w:eastAsia="Arial" w:hAnsi="Arial"/>
          <w:b w:val="false"/>
          <w:bCs w:val="false"/>
          <w:i w:val="false"/>
          <w:iCs w:val="false"/>
          <w:color w:val="1A1A1A"/>
          <w:sz w:val="21"/>
          <w:szCs w:val="21"/>
        </w:rPr>
        <w:t xml:space="preserve">Candidate niches should meet three criteria: criticality, meaning the product or service is essential to a major global industry or to human welfare; non-substitutability, meaning the state possesses unique natural, technological, or institutional endowments not easily replicated elsewhere; and future demand, meaning global demand is projected to grow rather than decline.</w:t>
      </w:r>
    </w:p>
    <w:p>
      <w:pPr>
        <w:spacing w:after="200" w:line="276"/>
        <w:jc w:val="both"/>
      </w:pPr>
      <w:r>
        <w:rPr>
          <w:rFonts w:ascii="Arial" w:cs="Arial" w:eastAsia="Arial" w:hAnsi="Arial"/>
          <w:b w:val="false"/>
          <w:bCs w:val="false"/>
          <w:i w:val="false"/>
          <w:iCs w:val="false"/>
          <w:color w:val="1A1A1A"/>
          <w:sz w:val="21"/>
          <w:szCs w:val="21"/>
        </w:rPr>
        <w:t xml:space="preserve">Potential niches include green methanol production for maritime shipping decarbonisation, where states with abundant renewable energy such as Iceland could become significant suppliers to a market some projections place near $20 billion by 2035; carbon-negative cement, where states with unique mineral deposits or waste streams could pioneer novel production methods; AI-assisted genomic sequencing for rare-disease markets, suited to small states with existing biotech capacity; advanced battery recycling, suited to states with low-cost energy near existing supply chains; and precision-fermentation proteins, suited to small agricultural states with real R&amp;D capacity.</w:t>
      </w:r>
    </w:p>
    <w:p>
      <w:pPr>
        <w:pStyle w:val="Heading3"/>
        <w:spacing w:after="100" w:before="200"/>
      </w:pPr>
      <w:r>
        <w:rPr>
          <w:rFonts w:ascii="Arial" w:cs="Arial" w:eastAsia="Arial" w:hAnsi="Arial"/>
          <w:b/>
          <w:bCs/>
          <w:color w:val="B8860B"/>
          <w:sz w:val="22"/>
          <w:szCs w:val="22"/>
        </w:rPr>
        <w:t xml:space="preserve">6.3 The Concentration Protection Strategy</w:t>
      </w:r>
    </w:p>
    <w:p>
      <w:pPr>
        <w:spacing w:after="200" w:line="276"/>
        <w:jc w:val="both"/>
      </w:pPr>
      <w:r>
        <w:rPr>
          <w:rFonts w:ascii="Arial" w:cs="Arial" w:eastAsia="Arial" w:hAnsi="Arial"/>
          <w:b w:val="false"/>
          <w:bCs w:val="false"/>
          <w:i w:val="false"/>
          <w:iCs w:val="false"/>
          <w:color w:val="1A1A1A"/>
          <w:sz w:val="21"/>
          <w:szCs w:val="21"/>
        </w:rPr>
        <w:t xml:space="preserve">Pursuing this kind of concentrated advantage credibly requires substantial upfront capital — plausibly in the low billions of dollars for a project like green methanol production at meaningful scale, well beyond what most small states could self-fund without multilateral or private partnership; intellectual property protection through patents, trade secrets, and proprietary process knowledge; long-term bilateral offtake agreements that guarantee demand across economic cycles; strategic reserve stockpiling to buffer supply disruption; and active diplomatic framing of the resulting position as a global public good rather than a narrow national monopoly, to secure legitimacy and international support.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left w:val="single" w:color="B8860B" w:sz="24"/>
            </w:tcBorders>
            <w:shd w:fill="F2F2F2" w:val="clear"/>
            <w:tcMar>
              <w:top w:type="dxa" w:w="200"/>
              <w:left w:type="dxa" w:w="240"/>
              <w:bottom w:type="dxa" w:w="200"/>
              <w:right w:type="dxa" w:w="240"/>
            </w:tcMar>
          </w:tcPr>
          <w:p>
            <w:pPr>
              <w:spacing w:after="80"/>
            </w:pPr>
            <w:r>
              <w:rPr>
                <w:rFonts w:ascii="Arial" w:cs="Arial" w:eastAsia="Arial" w:hAnsi="Arial"/>
                <w:b/>
                <w:bCs/>
                <w:color w:val="B8860B"/>
                <w:sz w:val="17"/>
                <w:szCs w:val="17"/>
              </w:rPr>
              <w:t xml:space="preserve">Illustrative Financial Scenario — Not a Forecast</w:t>
            </w:r>
          </w:p>
          <w:p>
            <w:pPr>
              <w:jc w:val="both"/>
            </w:pPr>
            <w:r>
              <w:rPr>
                <w:rFonts w:ascii="Arial" w:cs="Arial" w:eastAsia="Arial" w:hAnsi="Arial"/>
                <w:color w:val="1A1A1A"/>
                <w:sz w:val="20"/>
                <w:szCs w:val="20"/>
              </w:rPr>
              <w:t xml:space="preserve">A small state achieving roughly 30% global market share in green methanol — on the order of 5 million tons per year at an illustrative $800/ton — would generate on the order of $4 billion in annual revenue under that scenario, with plausible operating margins of 40–50% implying $1.6–2 billion in surplus. Every input here — the market-share assumption, the price, the margin — is a stated illustrative assumption chosen to make the scale of the opportunity concrete, not a business case, feasibility study, or market forecast for any real project.</w:t>
            </w:r>
          </w:p>
        </w:tc>
      </w:tr>
    </w:tbl>
    <w:p>
      <w:pPr>
        <w:spacing w:after="200"/>
      </w:pPr>
    </w:p>
    <w:p>
      <w:pPr>
        <w:spacing w:after="200" w:line="276"/>
        <w:jc w:val="both"/>
      </w:pPr>
      <w:r>
        <w:rPr>
          <w:rFonts w:ascii="Arial" w:cs="Arial" w:eastAsia="Arial" w:hAnsi="Arial"/>
          <w:b/>
          <w:bCs/>
          <w:color w:val="1A1A1A"/>
          <w:sz w:val="21"/>
          <w:szCs w:val="21"/>
        </w:rPr>
        <w:t xml:space="preserve">Theoretical grounding: </w:t>
      </w:r>
      <w:r>
        <w:rPr>
          <w:rFonts w:ascii="Arial" w:cs="Arial" w:eastAsia="Arial" w:hAnsi="Arial"/>
          <w:color w:val="1A1A1A"/>
          <w:sz w:val="21"/>
          <w:szCs w:val="21"/>
        </w:rPr>
        <w:t xml:space="preserve">Strategic Monoculture 2.0 draws on the resource-based view of the firm (Barney, 1991) applied at the national level, and updates Ricardo's (1817) concept of advantageous specialisation for a twenty-first-century context of AI-driven global value chains.</w:t>
      </w:r>
    </w:p>
    <w:p>
      <w:pPr>
        <w:spacing w:after="200" w:line="276"/>
        <w:jc w:val="both"/>
      </w:pPr>
      <w:r>
        <w:rPr>
          <w:rFonts w:ascii="Arial" w:cs="Arial" w:eastAsia="Arial" w:hAnsi="Arial"/>
          <w:b/>
          <w:bCs/>
          <w:color w:val="1A1A1A"/>
          <w:sz w:val="21"/>
          <w:szCs w:val="21"/>
        </w:rPr>
        <w:t xml:space="preserve">Practical feasibility and risk: </w:t>
      </w:r>
      <w:r>
        <w:rPr>
          <w:rFonts w:ascii="Arial" w:cs="Arial" w:eastAsia="Arial" w:hAnsi="Arial"/>
          <w:color w:val="1A1A1A"/>
          <w:sz w:val="21"/>
          <w:szCs w:val="21"/>
        </w:rPr>
        <w:t xml:space="preserve">this is explicitly the highest-risk, highest-reward pillar of the four. It requires sustained political commitment across multiple electoral cycles, real institutional capacity, and durable international partnerships — conditions that are genuinely difficult to guarantee in advance. Qatar's LNG position and Norway's oil-and-sovereign-wealth-fund model demonstrate that resource-based concentration can work; they do not demonstrate that any given small state attempting a future-facing version of the same strategy will succeed, and the paper should not be read as implying otherwise.</w:t>
      </w:r>
    </w:p>
    <w:p>
      <w:pPr>
        <w:pStyle w:val="Heading3"/>
        <w:spacing w:after="100" w:before="200"/>
      </w:pPr>
      <w:r>
        <w:rPr>
          <w:rFonts w:ascii="Arial" w:cs="Arial" w:eastAsia="Arial" w:hAnsi="Arial"/>
          <w:b/>
          <w:bCs/>
          <w:color w:val="B8860B"/>
          <w:sz w:val="22"/>
          <w:szCs w:val="22"/>
        </w:rPr>
        <w:t xml:space="preserve">6.4 Case Prototype: Iceland's Green Methanol Ambition</w:t>
      </w:r>
    </w:p>
    <w:p>
      <w:pPr>
        <w:spacing w:after="200" w:line="276"/>
        <w:jc w:val="both"/>
      </w:pPr>
      <w:r>
        <w:rPr>
          <w:rFonts w:ascii="Arial" w:cs="Arial" w:eastAsia="Arial" w:hAnsi="Arial"/>
          <w:b w:val="false"/>
          <w:bCs w:val="false"/>
          <w:i w:val="false"/>
          <w:iCs w:val="false"/>
          <w:color w:val="1A1A1A"/>
          <w:sz w:val="21"/>
          <w:szCs w:val="21"/>
        </w:rPr>
        <w:t xml:space="preserve">Iceland's abundant geothermal and hydroelectric capacity, among the lowest-cost energy in Europe, makes it a plausible candidate for large-scale green methanol production for shipping. Iceland has already published a hydrogen and methanol roadmap; whether that roadmap converts into the scale of production and the offtake agreements this pillar's illustrative scenario assumes remains genuinely open, and is presented here as an example of the strategy in early motion, not a completed case study of success.</w:t>
      </w:r>
    </w:p>
    <w:p>
      <w:r>
        <w:br w:type="page"/>
      </w:r>
    </w:p>
    <w:p>
      <w:pPr>
        <w:pStyle w:val="Heading1"/>
        <w:spacing w:after="200" w:before="400"/>
      </w:pPr>
      <w:r>
        <w:rPr>
          <w:rFonts w:ascii="Arial" w:cs="Arial" w:eastAsia="Arial" w:hAnsi="Arial"/>
          <w:b/>
          <w:bCs/>
          <w:color w:val="0A2540"/>
          <w:sz w:val="30"/>
          <w:szCs w:val="30"/>
        </w:rPr>
        <w:t xml:space="preserve">Part III: Synthesis &amp; Roadmap</w:t>
      </w:r>
    </w:p>
    <w:p>
      <w:pPr>
        <w:pStyle w:val="Heading2"/>
        <w:spacing w:after="150" w:before="300"/>
      </w:pPr>
      <w:r>
        <w:rPr>
          <w:rFonts w:ascii="Arial" w:cs="Arial" w:eastAsia="Arial" w:hAnsi="Arial"/>
          <w:b/>
          <w:bCs/>
          <w:color w:val="0A2540"/>
          <w:sz w:val="24"/>
          <w:szCs w:val="24"/>
        </w:rPr>
        <w:t xml:space="preserve">7. Integration: The Symbiosis of the Four Pillars</w:t>
      </w:r>
    </w:p>
    <w:p>
      <w:pPr>
        <w:spacing w:after="200" w:line="276"/>
        <w:jc w:val="both"/>
      </w:pPr>
      <w:r>
        <w:rPr>
          <w:rFonts w:ascii="Arial" w:cs="Arial" w:eastAsia="Arial" w:hAnsi="Arial"/>
          <w:b w:val="false"/>
          <w:bCs w:val="false"/>
          <w:i w:val="false"/>
          <w:iCs w:val="false"/>
          <w:color w:val="1A1A1A"/>
          <w:sz w:val="21"/>
          <w:szCs w:val="21"/>
        </w:rPr>
        <w:t xml:space="preserve">The four pillars are not isolated strategies; in principle, each can reinforce the others. Sovereign Data Trusts can provide the data intelligence to help identify a promising Strategic Monoculture niche and supply an evidence base for RaaS playbooks. Resilience-as-a-Service can generate knowledge rents reinvested in Strategic Monoculture R&amp;D and build the institutional credibility that underpins Norm Arbitrage. Norm Arbitrage can create the legal moat that protects a Strategic Monoculture position and the jurisdictional brand that attracts RaaS partners. Strategic Monoculture, if it succeeds, can provide the economic surplus that funds the other three.</w:t>
      </w:r>
    </w:p>
    <w:p>
      <w:pPr>
        <w:spacing w:after="200" w:line="276"/>
        <w:jc w:val="both"/>
      </w:pPr>
      <w:r>
        <w:rPr>
          <w:rFonts w:ascii="Arial" w:cs="Arial" w:eastAsia="Arial" w:hAnsi="Arial"/>
          <w:b w:val="false"/>
          <w:bCs w:val="false"/>
          <w:i w:val="false"/>
          <w:iCs w:val="false"/>
          <w:color w:val="1A1A1A"/>
          <w:sz w:val="21"/>
          <w:szCs w:val="21"/>
        </w:rPr>
        <w:t xml:space="preserve">This is presented as a plausible virtuous cycle, not a demonstrated one — no state has yet run all four pillars simultaneously, so the reinforcing loop described here is this paper's hypothesis about how the pieces could compound, offered for testing through the phased pilots below rather than asserted as an already-proven mechanism.</w:t>
      </w:r>
    </w:p>
    <w:p>
      <w:r>
        <w:br w:type="page"/>
      </w:r>
    </w:p>
    <w:p>
      <w:pPr>
        <w:pStyle w:val="Heading2"/>
        <w:spacing w:after="150" w:before="300"/>
      </w:pPr>
      <w:r>
        <w:rPr>
          <w:rFonts w:ascii="Arial" w:cs="Arial" w:eastAsia="Arial" w:hAnsi="Arial"/>
          <w:b/>
          <w:bCs/>
          <w:color w:val="0A2540"/>
          <w:sz w:val="24"/>
          <w:szCs w:val="24"/>
        </w:rPr>
        <w:t xml:space="preserve">8. Implementation Roadmap</w:t>
      </w:r>
    </w:p>
    <w:p>
      <w:pPr>
        <w:pStyle w:val="Heading3"/>
        <w:spacing w:after="100" w:before="200"/>
      </w:pPr>
      <w:r>
        <w:rPr>
          <w:rFonts w:ascii="Arial" w:cs="Arial" w:eastAsia="Arial" w:hAnsi="Arial"/>
          <w:b/>
          <w:bCs/>
          <w:color w:val="B8860B"/>
          <w:sz w:val="22"/>
          <w:szCs w:val="22"/>
        </w:rPr>
        <w:t xml:space="preserve">Phase 1: Diagnostics and Selection (Months 1–6)</w:t>
      </w:r>
    </w:p>
    <w:p>
      <w:pPr>
        <w:pStyle w:val="ListParagraph"/>
        <w:numPr>
          <w:ilvl w:val="0"/>
          <w:numId w:val="1"/>
        </w:numPr>
        <w:spacing w:after="120" w:line="276"/>
      </w:pPr>
      <w:r>
        <w:rPr>
          <w:rFonts w:ascii="Arial" w:cs="Arial" w:eastAsia="Arial" w:hAnsi="Arial"/>
          <w:color w:val="1A1A1A"/>
          <w:sz w:val="21"/>
          <w:szCs w:val="21"/>
        </w:rPr>
        <w:t xml:space="preserve">Conduct a national inventory of data assets and governance capacity, including digital infrastructure, legal frameworks, and skills.</w:t>
      </w:r>
    </w:p>
    <w:p>
      <w:pPr>
        <w:pStyle w:val="ListParagraph"/>
        <w:numPr>
          <w:ilvl w:val="0"/>
          <w:numId w:val="1"/>
        </w:numPr>
        <w:spacing w:after="120" w:line="276"/>
      </w:pPr>
      <w:r>
        <w:rPr>
          <w:rFonts w:ascii="Arial" w:cs="Arial" w:eastAsia="Arial" w:hAnsi="Arial"/>
          <w:color w:val="1A1A1A"/>
          <w:sz w:val="21"/>
          <w:szCs w:val="21"/>
        </w:rPr>
        <w:t xml:space="preserve">Identify two to three regulatory voids with the highest first-mover potential through horizon scanning, stakeholder consultation, and expert review.</w:t>
      </w:r>
    </w:p>
    <w:p>
      <w:pPr>
        <w:pStyle w:val="ListParagraph"/>
        <w:numPr>
          <w:ilvl w:val="0"/>
          <w:numId w:val="1"/>
        </w:numPr>
        <w:spacing w:after="120" w:line="276"/>
      </w:pPr>
      <w:r>
        <w:rPr>
          <w:rFonts w:ascii="Arial" w:cs="Arial" w:eastAsia="Arial" w:hAnsi="Arial"/>
          <w:color w:val="1A1A1A"/>
          <w:sz w:val="21"/>
          <w:szCs w:val="21"/>
        </w:rPr>
        <w:t xml:space="preserve">Commission feasibility studies for the top three candidate Strategic Monoculture niches against the criticality, non-substitutability, and future-demand criteria.</w:t>
      </w:r>
    </w:p>
    <w:p>
      <w:pPr>
        <w:pStyle w:val="ListParagraph"/>
        <w:numPr>
          <w:ilvl w:val="0"/>
          <w:numId w:val="1"/>
        </w:numPr>
        <w:spacing w:after="120" w:line="276"/>
      </w:pPr>
      <w:r>
        <w:rPr>
          <w:rFonts w:ascii="Arial" w:cs="Arial" w:eastAsia="Arial" w:hAnsi="Arial"/>
          <w:color w:val="1A1A1A"/>
          <w:sz w:val="21"/>
          <w:szCs w:val="21"/>
        </w:rPr>
        <w:t xml:space="preserve">Establish a cross-agency task force spanning the Prime Minister's Office, Finance, Trade, Technology, and Foreign Affairs, with a dedicated secretariat.</w:t>
      </w:r>
    </w:p>
    <w:p>
      <w:pPr>
        <w:pStyle w:val="Heading3"/>
        <w:spacing w:after="100" w:before="200"/>
      </w:pPr>
      <w:r>
        <w:rPr>
          <w:rFonts w:ascii="Arial" w:cs="Arial" w:eastAsia="Arial" w:hAnsi="Arial"/>
          <w:b/>
          <w:bCs/>
          <w:color w:val="B8860B"/>
          <w:sz w:val="22"/>
          <w:szCs w:val="22"/>
        </w:rPr>
        <w:t xml:space="preserve">Phase 2: Pilot Projects (Months 7–18)</w:t>
      </w:r>
    </w:p>
    <w:p>
      <w:pPr>
        <w:pStyle w:val="ListParagraph"/>
        <w:numPr>
          <w:ilvl w:val="0"/>
          <w:numId w:val="1"/>
        </w:numPr>
        <w:spacing w:after="120" w:line="276"/>
      </w:pPr>
      <w:r>
        <w:rPr>
          <w:rFonts w:ascii="Arial" w:cs="Arial" w:eastAsia="Arial" w:hAnsi="Arial"/>
          <w:color w:val="1A1A1A"/>
          <w:sz w:val="21"/>
          <w:szCs w:val="21"/>
        </w:rPr>
        <w:t xml:space="preserve">Data Trust Pilot: launch a regional data trust among three to five neighbouring small states, focused on health and climate data, with standardisation protocols and a licensing framework.</w:t>
      </w:r>
    </w:p>
    <w:p>
      <w:pPr>
        <w:pStyle w:val="ListParagraph"/>
        <w:numPr>
          <w:ilvl w:val="0"/>
          <w:numId w:val="1"/>
        </w:numPr>
        <w:spacing w:after="120" w:line="276"/>
      </w:pPr>
      <w:r>
        <w:rPr>
          <w:rFonts w:ascii="Arial" w:cs="Arial" w:eastAsia="Arial" w:hAnsi="Arial"/>
          <w:color w:val="1A1A1A"/>
          <w:sz w:val="21"/>
          <w:szCs w:val="21"/>
        </w:rPr>
        <w:t xml:space="preserve">RaaS Pilot: codify a national crisis-response playbook and pilot one advisory engagement with a larger neighbouring state.</w:t>
      </w:r>
    </w:p>
    <w:p>
      <w:pPr>
        <w:pStyle w:val="ListParagraph"/>
        <w:numPr>
          <w:ilvl w:val="0"/>
          <w:numId w:val="1"/>
        </w:numPr>
        <w:spacing w:after="120" w:line="276"/>
      </w:pPr>
      <w:r>
        <w:rPr>
          <w:rFonts w:ascii="Arial" w:cs="Arial" w:eastAsia="Arial" w:hAnsi="Arial"/>
          <w:color w:val="1A1A1A"/>
          <w:sz w:val="21"/>
          <w:szCs w:val="21"/>
        </w:rPr>
        <w:t xml:space="preserve">Norm Arbitrage Pilot: draft and pass legislation for one regulatory void and begin accepting registrations from early adopters.</w:t>
      </w:r>
    </w:p>
    <w:p>
      <w:pPr>
        <w:pStyle w:val="ListParagraph"/>
        <w:numPr>
          <w:ilvl w:val="0"/>
          <w:numId w:val="1"/>
        </w:numPr>
        <w:spacing w:after="120" w:line="276"/>
      </w:pPr>
      <w:r>
        <w:rPr>
          <w:rFonts w:ascii="Arial" w:cs="Arial" w:eastAsia="Arial" w:hAnsi="Arial"/>
          <w:color w:val="1A1A1A"/>
          <w:sz w:val="21"/>
          <w:szCs w:val="21"/>
        </w:rPr>
        <w:t xml:space="preserve">Strategic Monoculture Pilot: secure funding and partnerships for initial, small-scale production capacity in the selected niche.</w:t>
      </w:r>
    </w:p>
    <w:p>
      <w:pPr>
        <w:pStyle w:val="Heading3"/>
        <w:spacing w:after="100" w:before="200"/>
      </w:pPr>
      <w:r>
        <w:rPr>
          <w:rFonts w:ascii="Arial" w:cs="Arial" w:eastAsia="Arial" w:hAnsi="Arial"/>
          <w:b/>
          <w:bCs/>
          <w:color w:val="B8860B"/>
          <w:sz w:val="22"/>
          <w:szCs w:val="22"/>
        </w:rPr>
        <w:t xml:space="preserve">Phase 3: Scaling and Integration (Months 19–36)</w:t>
      </w:r>
    </w:p>
    <w:p>
      <w:pPr>
        <w:pStyle w:val="ListParagraph"/>
        <w:numPr>
          <w:ilvl w:val="0"/>
          <w:numId w:val="1"/>
        </w:numPr>
        <w:spacing w:after="120" w:line="276"/>
      </w:pPr>
      <w:r>
        <w:rPr>
          <w:rFonts w:ascii="Arial" w:cs="Arial" w:eastAsia="Arial" w:hAnsi="Arial"/>
          <w:color w:val="1A1A1A"/>
          <w:sz w:val="21"/>
          <w:szCs w:val="21"/>
        </w:rPr>
        <w:t xml:space="preserve">Expand the data trust to additional participants and data types; negotiate first licensing agreements.</w:t>
      </w:r>
    </w:p>
    <w:p>
      <w:pPr>
        <w:pStyle w:val="ListParagraph"/>
        <w:numPr>
          <w:ilvl w:val="0"/>
          <w:numId w:val="1"/>
        </w:numPr>
        <w:spacing w:after="120" w:line="276"/>
      </w:pPr>
      <w:r>
        <w:rPr>
          <w:rFonts w:ascii="Arial" w:cs="Arial" w:eastAsia="Arial" w:hAnsi="Arial"/>
          <w:color w:val="1A1A1A"/>
          <w:sz w:val="21"/>
          <w:szCs w:val="21"/>
        </w:rPr>
        <w:t xml:space="preserve">Formalise RaaS as a government-backed consultancy unit with dedicated staff and a delivery platform.</w:t>
      </w:r>
    </w:p>
    <w:p>
      <w:pPr>
        <w:pStyle w:val="ListParagraph"/>
        <w:numPr>
          <w:ilvl w:val="0"/>
          <w:numId w:val="1"/>
        </w:numPr>
        <w:spacing w:after="120" w:line="276"/>
      </w:pPr>
      <w:r>
        <w:rPr>
          <w:rFonts w:ascii="Arial" w:cs="Arial" w:eastAsia="Arial" w:hAnsi="Arial"/>
          <w:color w:val="1A1A1A"/>
          <w:sz w:val="21"/>
          <w:szCs w:val="21"/>
        </w:rPr>
        <w:t xml:space="preserve">Scale Norm Arbitrage to additional regulatory voids and build a coherent jurisdictional brand.</w:t>
      </w:r>
    </w:p>
    <w:p>
      <w:pPr>
        <w:pStyle w:val="ListParagraph"/>
        <w:numPr>
          <w:ilvl w:val="0"/>
          <w:numId w:val="1"/>
        </w:numPr>
        <w:spacing w:after="120" w:line="276"/>
      </w:pPr>
      <w:r>
        <w:rPr>
          <w:rFonts w:ascii="Arial" w:cs="Arial" w:eastAsia="Arial" w:hAnsi="Arial"/>
          <w:color w:val="1A1A1A"/>
          <w:sz w:val="21"/>
          <w:szCs w:val="21"/>
        </w:rPr>
        <w:t xml:space="preserve">Scale Strategic Monoculture production toward commercial viability, with long-term offtake agreements.</w:t>
      </w:r>
    </w:p>
    <w:p>
      <w:pPr>
        <w:pStyle w:val="Heading3"/>
        <w:spacing w:after="100" w:before="200"/>
      </w:pPr>
      <w:r>
        <w:rPr>
          <w:rFonts w:ascii="Arial" w:cs="Arial" w:eastAsia="Arial" w:hAnsi="Arial"/>
          <w:b/>
          <w:bCs/>
          <w:color w:val="B8860B"/>
          <w:sz w:val="22"/>
          <w:szCs w:val="22"/>
        </w:rPr>
        <w:t xml:space="preserve">Phase 4: Coalition Building (Months 37–60)</w:t>
      </w:r>
    </w:p>
    <w:p>
      <w:pPr>
        <w:pStyle w:val="ListParagraph"/>
        <w:numPr>
          <w:ilvl w:val="0"/>
          <w:numId w:val="1"/>
        </w:numPr>
        <w:spacing w:after="120" w:line="276"/>
      </w:pPr>
      <w:r>
        <w:rPr>
          <w:rFonts w:ascii="Arial" w:cs="Arial" w:eastAsia="Arial" w:hAnsi="Arial"/>
          <w:color w:val="1A1A1A"/>
          <w:sz w:val="21"/>
          <w:szCs w:val="21"/>
        </w:rPr>
        <w:t xml:space="preserve">Convene a coalition of states adopting this framework to share practice and coordinate norm-setting in international forums.</w:t>
      </w:r>
    </w:p>
    <w:p>
      <w:pPr>
        <w:pStyle w:val="ListParagraph"/>
        <w:numPr>
          <w:ilvl w:val="0"/>
          <w:numId w:val="1"/>
        </w:numPr>
        <w:spacing w:after="120" w:line="276"/>
      </w:pPr>
      <w:r>
        <w:rPr>
          <w:rFonts w:ascii="Arial" w:cs="Arial" w:eastAsia="Arial" w:hAnsi="Arial"/>
          <w:color w:val="1A1A1A"/>
          <w:sz w:val="21"/>
          <w:szCs w:val="21"/>
        </w:rPr>
        <w:t xml:space="preserve">Establish a joint data trust federation to increase bargaining leverage with AI labs.</w:t>
      </w:r>
    </w:p>
    <w:p>
      <w:pPr>
        <w:pStyle w:val="ListParagraph"/>
        <w:numPr>
          <w:ilvl w:val="0"/>
          <w:numId w:val="1"/>
        </w:numPr>
        <w:spacing w:after="120" w:line="276"/>
      </w:pPr>
      <w:r>
        <w:rPr>
          <w:rFonts w:ascii="Arial" w:cs="Arial" w:eastAsia="Arial" w:hAnsi="Arial"/>
          <w:color w:val="1A1A1A"/>
          <w:sz w:val="21"/>
          <w:szCs w:val="21"/>
        </w:rPr>
        <w:t xml:space="preserve">Build a RaaS knowledge-sharing platform to scale advisory services globally.</w:t>
      </w:r>
    </w:p>
    <w:p>
      <w:pPr>
        <w:pStyle w:val="ListParagraph"/>
        <w:numPr>
          <w:ilvl w:val="0"/>
          <w:numId w:val="1"/>
        </w:numPr>
        <w:spacing w:after="120" w:line="276"/>
      </w:pPr>
      <w:r>
        <w:rPr>
          <w:rFonts w:ascii="Arial" w:cs="Arial" w:eastAsia="Arial" w:hAnsi="Arial"/>
          <w:color w:val="1A1A1A"/>
          <w:sz w:val="21"/>
          <w:szCs w:val="21"/>
        </w:rPr>
        <w:t xml:space="preserve">Seek international recognition — through UN or G20 channels — of successful Strategic Monoculture positions as global public goods where the underlying claim (e.g., emissions reduction) supports it.</w:t>
      </w:r>
    </w:p>
    <w:p>
      <w:r>
        <w:br w:type="page"/>
      </w:r>
    </w:p>
    <w:p>
      <w:pPr>
        <w:pStyle w:val="Heading2"/>
        <w:spacing w:after="150" w:before="300"/>
      </w:pPr>
      <w:r>
        <w:rPr>
          <w:rFonts w:ascii="Arial" w:cs="Arial" w:eastAsia="Arial" w:hAnsi="Arial"/>
          <w:b/>
          <w:bCs/>
          <w:color w:val="0A2540"/>
          <w:sz w:val="24"/>
          <w:szCs w:val="24"/>
        </w:rPr>
        <w:t xml:space="preserve">9. Risk Management and Mitigation</w:t>
      </w:r>
    </w:p>
    <w:tbl>
      <w:tblPr>
        <w:tblW w:type="dxa" w:w="9300"/>
        <w:tblBorders>
          <w:top w:val="single" w:color="CCCCCC" w:sz="4"/>
          <w:left w:val="single" w:color="CCCCCC" w:sz="4"/>
          <w:bottom w:val="single" w:color="CCCCCC" w:sz="4"/>
          <w:right w:val="single" w:color="CCCCCC" w:sz="4"/>
          <w:insideH w:val="single" w:color="CCCCCC" w:sz="4"/>
          <w:insideV w:val="single" w:color="CCCCCC" w:sz="4"/>
        </w:tblBorders>
      </w:tblPr>
      <w:tblGrid>
        <w:gridCol w:w="2800"/>
        <w:gridCol w:w="6500"/>
      </w:tblGrid>
      <w:tr>
        <w:trPr>
          <w:tblHeader/>
        </w:trPr>
        <w:tc>
          <w:tcPr>
            <w:tcW w:type="dxa" w:w="28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Risk</w:t>
            </w:r>
          </w:p>
        </w:tc>
        <w:tc>
          <w:tcPr>
            <w:tcW w:type="dxa" w:w="6500"/>
            <w:shd w:fill="0A2540" w:val="clear"/>
            <w:tcMar>
              <w:top w:type="dxa" w:w="80"/>
              <w:left w:type="dxa" w:w="100"/>
              <w:bottom w:type="dxa" w:w="80"/>
              <w:right w:type="dxa" w:w="100"/>
            </w:tcMar>
            <w:vAlign w:val="center"/>
          </w:tcPr>
          <w:p>
            <w:r>
              <w:rPr>
                <w:rFonts w:ascii="Arial" w:cs="Arial" w:eastAsia="Arial" w:hAnsi="Arial"/>
                <w:b/>
                <w:bCs/>
                <w:color w:val="FFFFFF"/>
                <w:sz w:val="18"/>
                <w:szCs w:val="18"/>
              </w:rPr>
              <w:t xml:space="preserve">Mitigation</w:t>
            </w:r>
          </w:p>
        </w:tc>
      </w:tr>
      <w:tr>
        <w:tc>
          <w:tcPr>
            <w:tcW w:type="dxa" w:w="28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Data trust non-participation</w:t>
            </w:r>
          </w:p>
        </w:tc>
        <w:tc>
          <w:tcPr>
            <w:tcW w:type="dxa" w:w="65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Start with trusted regional partners; offer revenue-sharing guarantees; demonstrate quick wins before asking for wider buy-in.</w:t>
            </w:r>
          </w:p>
        </w:tc>
      </w:tr>
      <w:tr>
        <w:tc>
          <w:tcPr>
            <w:tcW w:type="dxa" w:w="28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RaaS market acceptance</w:t>
            </w:r>
          </w:p>
        </w:tc>
        <w:tc>
          <w:tcPr>
            <w:tcW w:type="dxa" w:w="65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Begin with pro-bono pilots to build real case studies; seek multilateral endorsement; publish results and failures alike.</w:t>
            </w:r>
          </w:p>
        </w:tc>
      </w:tr>
      <w:tr>
        <w:tc>
          <w:tcPr>
            <w:tcW w:type="dxa" w:w="28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Norm arbitrage competition</w:t>
            </w:r>
          </w:p>
        </w:tc>
        <w:tc>
          <w:tcPr>
            <w:tcW w:type="dxa" w:w="65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Act swiftly on genuine first-mover opportunities; build on existing legal expertise; engage in proactive first-mover diplomacy.</w:t>
            </w:r>
          </w:p>
        </w:tc>
      </w:tr>
      <w:tr>
        <w:tc>
          <w:tcPr>
            <w:tcW w:type="dxa" w:w="28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Strategic Monoculture failure</w:t>
            </w:r>
          </w:p>
        </w:tc>
        <w:tc>
          <w:tcPr>
            <w:tcW w:type="dxa" w:w="65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Diversify across two to three candidate niches rather than one; maintain risk capital; secure insurance through multilateral development banks.</w:t>
            </w:r>
          </w:p>
        </w:tc>
      </w:tr>
      <w:tr>
        <w:tc>
          <w:tcPr>
            <w:tcW w:type="dxa" w:w="28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Geopolitical backlash</w:t>
            </w:r>
          </w:p>
        </w:tc>
        <w:tc>
          <w:tcPr>
            <w:tcW w:type="dxa" w:w="65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Frame concentration as a public good where genuinely defensible; build coalitions with both small and large states who benefit.</w:t>
            </w:r>
          </w:p>
        </w:tc>
      </w:tr>
      <w:tr>
        <w:tc>
          <w:tcPr>
            <w:tcW w:type="dxa" w:w="28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Skills shortage</w:t>
            </w:r>
          </w:p>
        </w:tc>
        <w:tc>
          <w:tcPr>
            <w:tcW w:type="dxa" w:w="6500"/>
            <w:shd w:fill="F2F2F2"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Invest in education and training early; partner with international universities; use remote talent and AI-augmented tools.</w:t>
            </w:r>
          </w:p>
        </w:tc>
      </w:tr>
      <w:tr>
        <w:tc>
          <w:tcPr>
            <w:tcW w:type="dxa" w:w="28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Political instability</w:t>
            </w:r>
          </w:p>
        </w:tc>
        <w:tc>
          <w:tcPr>
            <w:tcW w:type="dxa" w:w="6500"/>
            <w:shd w:fill="FFFFFF" w:val="clear"/>
            <w:tcMar>
              <w:top w:type="dxa" w:w="80"/>
              <w:left w:type="dxa" w:w="100"/>
              <w:bottom w:type="dxa" w:w="80"/>
              <w:right w:type="dxa" w:w="100"/>
            </w:tcMar>
            <w:vAlign w:val="center"/>
          </w:tcPr>
          <w:p>
            <w:r>
              <w:rPr>
                <w:rFonts w:ascii="Arial" w:cs="Arial" w:eastAsia="Arial" w:hAnsi="Arial"/>
                <w:b w:val="false"/>
                <w:bCs w:val="false"/>
                <w:color w:val="1A1A1A"/>
                <w:sz w:val="18"/>
                <w:szCs w:val="18"/>
              </w:rPr>
              <w:t xml:space="preserve">Seek broad cross-party political consensus; embed the strategy in long-term national development plans, not a single administration's agenda.</w:t>
            </w:r>
          </w:p>
        </w:tc>
      </w:tr>
    </w:tbl>
    <w:p>
      <w:r>
        <w:br w:type="page"/>
      </w:r>
    </w:p>
    <w:p>
      <w:pPr>
        <w:pStyle w:val="Heading2"/>
        <w:spacing w:after="150" w:before="300"/>
      </w:pPr>
      <w:r>
        <w:rPr>
          <w:rFonts w:ascii="Arial" w:cs="Arial" w:eastAsia="Arial" w:hAnsi="Arial"/>
          <w:b/>
          <w:bCs/>
          <w:color w:val="0A2540"/>
          <w:sz w:val="24"/>
          <w:szCs w:val="24"/>
        </w:rPr>
        <w:t xml:space="preserve">10. Call to Action</w:t>
      </w:r>
    </w:p>
    <w:p>
      <w:pPr>
        <w:spacing w:after="200" w:line="276"/>
        <w:jc w:val="both"/>
      </w:pPr>
      <w:r>
        <w:rPr>
          <w:rFonts w:ascii="Arial" w:cs="Arial" w:eastAsia="Arial" w:hAnsi="Arial"/>
          <w:b w:val="false"/>
          <w:bCs w:val="false"/>
          <w:i w:val="false"/>
          <w:iCs w:val="false"/>
          <w:color w:val="1A1A1A"/>
          <w:sz w:val="21"/>
          <w:szCs w:val="21"/>
        </w:rPr>
        <w:t xml:space="preserve">This white paper calls on leaders of small states to treat this framework as one candidate blueprint for national transformation worth diagnostic-phase testing, not a guaranteed formula — and to weigh the genuine risks named throughout alongside the opportunity. It calls on development partners — UN agencies, the Commonwealth, the World Bank, regional development banks — to consider supporting well-designed pilot programmes rather than the full framework at once. It calls on the private sector to treat credible small-state partnerships in Strategic Monoculture and data-trust licensing as legitimate strategic opportunities, not merely aid-adjacent goodwill. And it calls on academia to test, critique, and where warranted dismantle the theoretical claims made here through rigorous empirical evaluation of any real pilots that follow.</w:t>
      </w:r>
    </w:p>
    <w:p>
      <w:pPr>
        <w:spacing w:after="200" w:line="276"/>
        <w:jc w:val="both"/>
      </w:pPr>
      <w:r>
        <w:rPr>
          <w:rFonts w:ascii="Arial" w:cs="Arial" w:eastAsia="Arial" w:hAnsi="Arial"/>
          <w:b w:val="false"/>
          <w:bCs w:val="false"/>
          <w:i w:val="false"/>
          <w:iCs w:val="false"/>
          <w:color w:val="1A1A1A"/>
          <w:sz w:val="21"/>
          <w:szCs w:val="21"/>
        </w:rPr>
        <w:t xml:space="preserve">The global economy is at an inflection point. Rules shaped by and for large powers are fracturing in places. In that moment of flux, some small states may find a genuine window to become rule-makers rather than rule-takers in specific domains — not universally, and not without real risk of failure, but with more genuine room to try than the conventional diversification playbook alone offers.</w:t>
      </w:r>
    </w:p>
    <w:p>
      <w:r>
        <w:br w:type="page"/>
      </w:r>
    </w:p>
    <w:p>
      <w:pPr>
        <w:pStyle w:val="Heading1"/>
        <w:spacing w:after="200" w:before="400"/>
      </w:pPr>
      <w:r>
        <w:rPr>
          <w:rFonts w:ascii="Arial" w:cs="Arial" w:eastAsia="Arial" w:hAnsi="Arial"/>
          <w:b/>
          <w:bCs/>
          <w:color w:val="0A2540"/>
          <w:sz w:val="30"/>
          <w:szCs w:val="30"/>
        </w:rPr>
        <w:t xml:space="preserve">References</w:t>
      </w:r>
    </w:p>
    <w:p>
      <w:pPr>
        <w:spacing w:after="140" w:line="264"/>
        <w:ind w:left="360" w:hanging="360"/>
      </w:pPr>
      <w:r>
        <w:rPr>
          <w:rFonts w:ascii="Arial" w:cs="Arial" w:eastAsia="Arial" w:hAnsi="Arial"/>
          <w:color w:val="1A1A1A"/>
          <w:sz w:val="20"/>
          <w:szCs w:val="20"/>
        </w:rPr>
        <w:t xml:space="preserve">1. </w:t>
      </w:r>
      <w:r>
        <w:rPr>
          <w:rFonts w:ascii="Arial" w:cs="Arial" w:eastAsia="Arial" w:hAnsi="Arial"/>
          <w:color w:val="1A1A1A"/>
          <w:sz w:val="20"/>
          <w:szCs w:val="20"/>
        </w:rPr>
        <w:t xml:space="preserve">Armstrong, H., &amp; Read, R. (2000). Comparing the economic performance of dependent territories and sovereign micro-states. Economic Development and Cultural Change, 48(2), 285–306.</w:t>
      </w:r>
    </w:p>
    <w:p>
      <w:pPr>
        <w:spacing w:after="140" w:line="264"/>
        <w:ind w:left="360" w:hanging="360"/>
      </w:pPr>
      <w:r>
        <w:rPr>
          <w:rFonts w:ascii="Arial" w:cs="Arial" w:eastAsia="Arial" w:hAnsi="Arial"/>
          <w:color w:val="1A1A1A"/>
          <w:sz w:val="20"/>
          <w:szCs w:val="20"/>
        </w:rPr>
        <w:t xml:space="preserve">2. </w:t>
      </w:r>
      <w:r>
        <w:rPr>
          <w:rFonts w:ascii="Arial" w:cs="Arial" w:eastAsia="Arial" w:hAnsi="Arial"/>
          <w:color w:val="1A1A1A"/>
          <w:sz w:val="20"/>
          <w:szCs w:val="20"/>
        </w:rPr>
        <w:t xml:space="preserve">Baldacchino, G. (2021). Small states and the governance of globalisation. In Handbook on Small States. Edward Elgar.</w:t>
      </w:r>
    </w:p>
    <w:p>
      <w:pPr>
        <w:spacing w:after="140" w:line="264"/>
        <w:ind w:left="360" w:hanging="360"/>
      </w:pPr>
      <w:r>
        <w:rPr>
          <w:rFonts w:ascii="Arial" w:cs="Arial" w:eastAsia="Arial" w:hAnsi="Arial"/>
          <w:color w:val="1A1A1A"/>
          <w:sz w:val="20"/>
          <w:szCs w:val="20"/>
        </w:rPr>
        <w:t xml:space="preserve">3. </w:t>
      </w:r>
      <w:r>
        <w:rPr>
          <w:rFonts w:ascii="Arial" w:cs="Arial" w:eastAsia="Arial" w:hAnsi="Arial"/>
          <w:color w:val="1A1A1A"/>
          <w:sz w:val="20"/>
          <w:szCs w:val="20"/>
        </w:rPr>
        <w:t xml:space="preserve">Barney, J. (1991). Firm resources and sustained competitive advantage. Journal of Management, 17(1), 99–120.</w:t>
      </w:r>
    </w:p>
    <w:p>
      <w:pPr>
        <w:spacing w:after="140" w:line="264"/>
        <w:ind w:left="360" w:hanging="360"/>
      </w:pPr>
      <w:r>
        <w:rPr>
          <w:rFonts w:ascii="Arial" w:cs="Arial" w:eastAsia="Arial" w:hAnsi="Arial"/>
          <w:color w:val="1A1A1A"/>
          <w:sz w:val="20"/>
          <w:szCs w:val="20"/>
        </w:rPr>
        <w:t xml:space="preserve">4. </w:t>
      </w:r>
      <w:r>
        <w:rPr>
          <w:rFonts w:ascii="Arial" w:cs="Arial" w:eastAsia="Arial" w:hAnsi="Arial"/>
          <w:color w:val="1A1A1A"/>
          <w:sz w:val="20"/>
          <w:szCs w:val="20"/>
        </w:rPr>
        <w:t xml:space="preserve">Briguglio, L. (1995). Small island developing states and their economic vulnerabilities. World Development, 23(9), 1615–1632.</w:t>
      </w:r>
    </w:p>
    <w:p>
      <w:pPr>
        <w:spacing w:after="140" w:line="264"/>
        <w:ind w:left="360" w:hanging="360"/>
      </w:pPr>
      <w:r>
        <w:rPr>
          <w:rFonts w:ascii="Arial" w:cs="Arial" w:eastAsia="Arial" w:hAnsi="Arial"/>
          <w:color w:val="1A1A1A"/>
          <w:sz w:val="20"/>
          <w:szCs w:val="20"/>
        </w:rPr>
        <w:t xml:space="preserve">5. </w:t>
      </w:r>
      <w:r>
        <w:rPr>
          <w:rFonts w:ascii="Arial" w:cs="Arial" w:eastAsia="Arial" w:hAnsi="Arial"/>
          <w:color w:val="1A1A1A"/>
          <w:sz w:val="20"/>
          <w:szCs w:val="20"/>
        </w:rPr>
        <w:t xml:space="preserve">DiMaggio, P. J., &amp; Powell, W. W. (1983). The iron cage revisited: Institutional isomorphism and collective rationality in organizational fields. American Sociological Review, 48(2), 147–160.</w:t>
      </w:r>
    </w:p>
    <w:p>
      <w:pPr>
        <w:spacing w:after="140" w:line="264"/>
        <w:ind w:left="360" w:hanging="360"/>
      </w:pPr>
      <w:r>
        <w:rPr>
          <w:rFonts w:ascii="Arial" w:cs="Arial" w:eastAsia="Arial" w:hAnsi="Arial"/>
          <w:color w:val="1A1A1A"/>
          <w:sz w:val="20"/>
          <w:szCs w:val="20"/>
        </w:rPr>
        <w:t xml:space="preserve">6. </w:t>
      </w:r>
      <w:r>
        <w:rPr>
          <w:rFonts w:ascii="Arial" w:cs="Arial" w:eastAsia="Arial" w:hAnsi="Arial"/>
          <w:color w:val="1A1A1A"/>
          <w:sz w:val="20"/>
          <w:szCs w:val="20"/>
        </w:rPr>
        <w:t xml:space="preserve">Finnemore, M., &amp; Sikkink, K. (1998). International norm dynamics and political change. International Organization, 52(4), 887–917.</w:t>
      </w:r>
    </w:p>
    <w:p>
      <w:pPr>
        <w:spacing w:after="140" w:line="264"/>
        <w:ind w:left="360" w:hanging="360"/>
      </w:pPr>
      <w:r>
        <w:rPr>
          <w:rFonts w:ascii="Arial" w:cs="Arial" w:eastAsia="Arial" w:hAnsi="Arial"/>
          <w:color w:val="1A1A1A"/>
          <w:sz w:val="20"/>
          <w:szCs w:val="20"/>
        </w:rPr>
        <w:t xml:space="preserve">7. </w:t>
      </w:r>
      <w:r>
        <w:rPr>
          <w:rFonts w:ascii="Arial" w:cs="Arial" w:eastAsia="Arial" w:hAnsi="Arial"/>
          <w:color w:val="1A1A1A"/>
          <w:sz w:val="20"/>
          <w:szCs w:val="20"/>
        </w:rPr>
        <w:t xml:space="preserve">Foray, D. (2004). Economics of Knowledge. MIT Press.</w:t>
      </w:r>
    </w:p>
    <w:p>
      <w:pPr>
        <w:spacing w:after="140" w:line="264"/>
        <w:ind w:left="360" w:hanging="360"/>
      </w:pPr>
      <w:r>
        <w:rPr>
          <w:rFonts w:ascii="Arial" w:cs="Arial" w:eastAsia="Arial" w:hAnsi="Arial"/>
          <w:color w:val="1A1A1A"/>
          <w:sz w:val="20"/>
          <w:szCs w:val="20"/>
        </w:rPr>
        <w:t xml:space="preserve">8. </w:t>
      </w:r>
      <w:r>
        <w:rPr>
          <w:rFonts w:ascii="Arial" w:cs="Arial" w:eastAsia="Arial" w:hAnsi="Arial"/>
          <w:color w:val="1A1A1A"/>
          <w:sz w:val="20"/>
          <w:szCs w:val="20"/>
        </w:rPr>
        <w:t xml:space="preserve">Grossman, G. M., &amp; Helpman, E. (1991). Innovation and Growth in the Global Economy. MIT Press.</w:t>
      </w:r>
    </w:p>
    <w:p>
      <w:pPr>
        <w:spacing w:after="140" w:line="264"/>
        <w:ind w:left="360" w:hanging="360"/>
      </w:pPr>
      <w:r>
        <w:rPr>
          <w:rFonts w:ascii="Arial" w:cs="Arial" w:eastAsia="Arial" w:hAnsi="Arial"/>
          <w:color w:val="1A1A1A"/>
          <w:sz w:val="20"/>
          <w:szCs w:val="20"/>
        </w:rPr>
        <w:t xml:space="preserve">9. </w:t>
      </w:r>
      <w:r>
        <w:rPr>
          <w:rFonts w:ascii="Arial" w:cs="Arial" w:eastAsia="Arial" w:hAnsi="Arial"/>
          <w:color w:val="1A1A1A"/>
          <w:sz w:val="20"/>
          <w:szCs w:val="20"/>
        </w:rPr>
        <w:t xml:space="preserve">OECD (2021). Base erosion and profit shifting: Progress report. OECD Publishing.</w:t>
      </w:r>
    </w:p>
    <w:p>
      <w:pPr>
        <w:spacing w:after="140" w:line="264"/>
        <w:ind w:left="360" w:hanging="360"/>
      </w:pPr>
      <w:r>
        <w:rPr>
          <w:rFonts w:ascii="Arial" w:cs="Arial" w:eastAsia="Arial" w:hAnsi="Arial"/>
          <w:color w:val="1A1A1A"/>
          <w:sz w:val="20"/>
          <w:szCs w:val="20"/>
        </w:rPr>
        <w:t xml:space="preserve">10. </w:t>
      </w:r>
      <w:r>
        <w:rPr>
          <w:rFonts w:ascii="Arial" w:cs="Arial" w:eastAsia="Arial" w:hAnsi="Arial"/>
          <w:color w:val="1A1A1A"/>
          <w:sz w:val="20"/>
          <w:szCs w:val="20"/>
        </w:rPr>
        <w:t xml:space="preserve">Ostrom, E. (1990). Governing the Commons: The Evolution of Institutions for Collective Action. Cambridge University Press.</w:t>
      </w:r>
    </w:p>
    <w:p>
      <w:pPr>
        <w:spacing w:after="140" w:line="264"/>
        <w:ind w:left="360" w:hanging="360"/>
      </w:pPr>
      <w:r>
        <w:rPr>
          <w:rFonts w:ascii="Arial" w:cs="Arial" w:eastAsia="Arial" w:hAnsi="Arial"/>
          <w:color w:val="1A1A1A"/>
          <w:sz w:val="20"/>
          <w:szCs w:val="20"/>
        </w:rPr>
        <w:t xml:space="preserve">11. </w:t>
      </w:r>
      <w:r>
        <w:rPr>
          <w:rFonts w:ascii="Arial" w:cs="Arial" w:eastAsia="Arial" w:hAnsi="Arial"/>
          <w:color w:val="1A1A1A"/>
          <w:sz w:val="20"/>
          <w:szCs w:val="20"/>
        </w:rPr>
        <w:t xml:space="preserve">Ricardo, D. (1817). On the Principles of Political Economy and Taxation. John Murray.</w:t>
      </w:r>
    </w:p>
    <w:p>
      <w:pPr>
        <w:spacing w:after="140" w:line="264"/>
        <w:ind w:left="360" w:hanging="360"/>
      </w:pPr>
      <w:r>
        <w:rPr>
          <w:rFonts w:ascii="Arial" w:cs="Arial" w:eastAsia="Arial" w:hAnsi="Arial"/>
          <w:color w:val="1A1A1A"/>
          <w:sz w:val="20"/>
          <w:szCs w:val="20"/>
        </w:rPr>
        <w:t xml:space="preserve">12. </w:t>
      </w:r>
      <w:r>
        <w:rPr>
          <w:rFonts w:ascii="Arial" w:cs="Arial" w:eastAsia="Arial" w:hAnsi="Arial"/>
          <w:color w:val="1A1A1A"/>
          <w:sz w:val="20"/>
          <w:szCs w:val="20"/>
        </w:rPr>
        <w:t xml:space="preserve">Vogel, D. (1995). Trading Up: Consumer and Environmental Regulation in a Global Economy. Harvard University Press.</w:t>
      </w:r>
    </w:p>
    <w:p>
      <w:pPr>
        <w:spacing w:after="140" w:line="264"/>
        <w:ind w:left="360" w:hanging="360"/>
      </w:pPr>
      <w:r>
        <w:rPr>
          <w:rFonts w:ascii="Arial" w:cs="Arial" w:eastAsia="Arial" w:hAnsi="Arial"/>
          <w:color w:val="1A1A1A"/>
          <w:sz w:val="20"/>
          <w:szCs w:val="20"/>
        </w:rPr>
        <w:t xml:space="preserve">13. </w:t>
      </w:r>
      <w:r>
        <w:rPr>
          <w:rFonts w:ascii="Arial" w:cs="Arial" w:eastAsia="Arial" w:hAnsi="Arial"/>
          <w:color w:val="1A1A1A"/>
          <w:sz w:val="20"/>
          <w:szCs w:val="20"/>
        </w:rPr>
        <w:t xml:space="preserve">Zuboff, S. (2019). The Age of Surveillance Capitalism. PublicAffairs.</w:t>
      </w:r>
    </w:p>
    <w:p>
      <w:pPr>
        <w:spacing w:after="140" w:line="264"/>
        <w:ind w:left="360" w:hanging="360"/>
      </w:pPr>
      <w:r>
        <w:rPr>
          <w:rFonts w:ascii="Arial" w:cs="Arial" w:eastAsia="Arial" w:hAnsi="Arial"/>
          <w:color w:val="1A1A1A"/>
          <w:sz w:val="20"/>
          <w:szCs w:val="20"/>
        </w:rPr>
        <w:t xml:space="preserve">14. </w:t>
      </w:r>
      <w:r>
        <w:rPr>
          <w:rFonts w:ascii="Arial" w:cs="Arial" w:eastAsia="Arial" w:hAnsi="Arial"/>
          <w:color w:val="1A1A1A"/>
          <w:sz w:val="20"/>
          <w:szCs w:val="20"/>
        </w:rPr>
        <w:t xml:space="preserve">Deal.ee (2026). Estonian e-Residency Explained: 2026 Guide — current programme statistics (130,000+ e-residents, 180+ countries, 37,000+ companies).</w:t>
      </w:r>
    </w:p>
    <w:p>
      <w:pPr>
        <w:spacing w:after="140" w:line="264"/>
        <w:ind w:left="360" w:hanging="360"/>
      </w:pPr>
      <w:r>
        <w:rPr>
          <w:rFonts w:ascii="Arial" w:cs="Arial" w:eastAsia="Arial" w:hAnsi="Arial"/>
          <w:color w:val="1A1A1A"/>
          <w:sz w:val="20"/>
          <w:szCs w:val="20"/>
        </w:rPr>
        <w:t xml:space="preserve">15. </w:t>
      </w:r>
      <w:r>
        <w:rPr>
          <w:rFonts w:ascii="Arial" w:cs="Arial" w:eastAsia="Arial" w:hAnsi="Arial"/>
          <w:color w:val="1A1A1A"/>
          <w:sz w:val="20"/>
          <w:szCs w:val="20"/>
        </w:rPr>
        <w:t xml:space="preserve">Enty.io (2026). Estonia vs Lithuania: The Real Truth About E-Residency Programs — corroborating 2026 programme statistics.</w:t>
      </w:r>
    </w:p>
    <w:p>
      <w:pPr>
        <w:spacing w:after="300"/>
      </w:pPr>
    </w:p>
    <w:p>
      <w:pPr>
        <w:spacing w:after="200" w:line="276"/>
        <w:jc w:val="both"/>
      </w:pPr>
      <w:r>
        <w:rPr>
          <w:rFonts w:ascii="Arial" w:cs="Arial" w:eastAsia="Arial" w:hAnsi="Arial"/>
          <w:b/>
          <w:bCs/>
          <w:color w:val="1A1A1A"/>
          <w:sz w:val="21"/>
          <w:szCs w:val="21"/>
        </w:rPr>
        <w:t xml:space="preserve">A note on sourcing gaps: </w:t>
      </w:r>
      <w:r>
        <w:rPr>
          <w:rFonts w:ascii="Arial" w:cs="Arial" w:eastAsia="Arial" w:hAnsi="Arial"/>
          <w:color w:val="1A1A1A"/>
          <w:sz w:val="21"/>
          <w:szCs w:val="21"/>
        </w:rPr>
        <w:t xml:space="preserve">several items referenced in the original working draft — specific 2025-dated items attributed to Chatham House, UNDP, ESCAP, and named journal articles by Khayat, Lee &amp; Zhang, and Schoemaker &amp; Kirk with exact volume and page numbers — could not be independently verified by NGE at the time of this draft and have been omitted from this reference list rather than reproduced without confirmation. The arguments those citations supported are retained where they reflect defensible, independently reasoned positions, but are no longer presented as attributed to specific verified sources. NGE's practice is to correct this kind of gap in public once found, rather than let unverified citations stand quietly in a published document.</w:t>
      </w:r>
    </w:p>
    <w:p>
      <w:pPr>
        <w:spacing w:after="200"/>
      </w:pPr>
    </w:p>
    <w:p>
      <w:pPr>
        <w:spacing w:before="300"/>
        <w:jc w:val="center"/>
      </w:pPr>
      <w:r>
        <w:rPr>
          <w:rFonts w:ascii="Arial" w:cs="Arial" w:eastAsia="Arial" w:hAnsi="Arial"/>
          <w:i/>
          <w:iCs/>
          <w:color w:val="555555"/>
          <w:sz w:val="18"/>
          <w:szCs w:val="18"/>
        </w:rPr>
        <w:t xml:space="preserve">This white paper is offered as a contribution to the debate on small-state economic strategy. The authors welcome comments, critique, and correction.</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555555"/>
        <w:sz w:val="16"/>
        <w:szCs w:val="16"/>
      </w:rPr>
      <w:t xml:space="preserve">Page </w:t>
    </w:r>
    <w:r>
      <w:rPr>
        <w:rFonts w:ascii="Arial" w:cs="Arial" w:eastAsia="Arial" w:hAnsi="Arial"/>
        <w:color w:val="555555"/>
        <w:sz w:val="16"/>
        <w:szCs w:val="16"/>
      </w:rPr>
      <w:fldChar w:fldCharType="begin"/>
      <w:instrText xml:space="preserve">PAGE</w:instrText>
      <w:fldChar w:fldCharType="separate"/>
      <w:fldChar w:fldCharType="end"/>
    </w:r>
    <w:r>
      <w:rPr>
        <w:rFonts w:ascii="Arial" w:cs="Arial" w:eastAsia="Arial" w:hAnsi="Arial"/>
        <w:color w:val="555555"/>
        <w:sz w:val="16"/>
        <w:szCs w:val="16"/>
      </w:rPr>
      <w:t xml:space="preserve"> of </w:t>
    </w:r>
    <w:r>
      <w:rPr>
        <w:rFonts w:ascii="Arial" w:cs="Arial" w:eastAsia="Arial" w:hAnsi="Arial"/>
        <w:color w:val="555555"/>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8860B" w:sz="4" w:space="4"/>
      </w:pBdr>
      <w:tabs>
        <w:tab w:val="right" w:pos="9026"/>
      </w:tabs>
    </w:pPr>
    <w:r>
      <w:rPr>
        <w:rFonts w:ascii="Arial" w:cs="Arial" w:eastAsia="Arial" w:hAnsi="Arial"/>
        <w:b/>
        <w:bCs/>
        <w:color w:val="555555"/>
        <w:sz w:val="16"/>
        <w:szCs w:val="16"/>
      </w:rPr>
      <w:t xml:space="preserve">NGE WHITE PAPER</w:t>
    </w:r>
    <w:r>
      <w:rPr>
        <w:rFonts w:ascii="Arial" w:cs="Arial" w:eastAsia="Arial" w:hAnsi="Arial"/>
        <w:b/>
        <w:bCs/>
        <w:color w:val="555555"/>
        <w:sz w:val="16"/>
        <w:szCs w:val="16"/>
      </w:rPr>
      <w:t xml:space="preserve">	HIDDEN GEMS 2.0: FROM RULE-TAKERS TO RULE-MAKERS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2026-07-28T23:29:14.007Z</dcterms:created>
  <dcterms:modified xsi:type="dcterms:W3CDTF">2026-07-28T23:29:14.021Z</dcterms:modified>
</cp:coreProperties>
</file>

<file path=docProps/custom.xml><?xml version="1.0" encoding="utf-8"?>
<Properties xmlns="http://schemas.openxmlformats.org/officeDocument/2006/custom-properties" xmlns:vt="http://schemas.openxmlformats.org/officeDocument/2006/docPropsVTypes"/>
</file>