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before="400"/>
        <w:jc w:val="center"/>
      </w:pPr>
      <w:r>
        <w:rPr>
          <w:rFonts w:ascii="Arial" w:cs="Arial" w:eastAsia="Arial" w:hAnsi="Arial"/>
          <w:b/>
          <w:bCs/>
          <w:color w:val="0A2540"/>
          <w:spacing w:val="20"/>
          <w:sz w:val="22"/>
          <w:szCs w:val="22"/>
        </w:rPr>
        <w:t xml:space="preserve">NEXTGEN ECONOMICS</w:t>
      </w:r>
    </w:p>
    <w:p>
      <w:pPr>
        <w:spacing w:after="500"/>
        <w:jc w:val="center"/>
      </w:pPr>
      <w:r>
        <w:rPr>
          <w:rFonts w:ascii="Arial" w:cs="Arial" w:eastAsia="Arial" w:hAnsi="Arial"/>
          <w:b/>
          <w:bCs/>
          <w:color w:val="9B4A1B"/>
          <w:spacing w:val="8"/>
          <w:sz w:val="17"/>
          <w:szCs w:val="17"/>
        </w:rPr>
        <w:t xml:space="preserve">WHITE PAPER · FINANCIAL STABILITY &amp; SYSTEMIC RISK · HIDDEN GEMS SERIES NO. 1</w:t>
      </w:r>
    </w:p>
    <w:p>
      <w:pPr>
        <w:spacing w:after="100"/>
        <w:jc w:val="center"/>
      </w:pPr>
      <w:r>
        <w:rPr>
          <w:rFonts w:ascii="Arial" w:cs="Arial" w:eastAsia="Arial" w:hAnsi="Arial"/>
          <w:b/>
          <w:bCs/>
          <w:color w:val="0A2540"/>
          <w:sz w:val="34"/>
          <w:szCs w:val="34"/>
        </w:rPr>
        <w:t xml:space="preserve">The $846 Trillion Question</w:t>
      </w:r>
    </w:p>
    <w:p>
      <w:pPr>
        <w:spacing w:after="400"/>
        <w:jc w:val="center"/>
      </w:pPr>
      <w:r>
        <w:rPr>
          <w:rFonts w:ascii="Arial" w:cs="Arial" w:eastAsia="Arial" w:hAnsi="Arial"/>
          <w:i/>
          <w:iCs/>
          <w:color w:val="9B4A1B"/>
          <w:sz w:val="22"/>
          <w:szCs w:val="22"/>
        </w:rPr>
        <w:t xml:space="preserve">Derivatives, Leverage, and the Search for Financial Stability</w:t>
      </w:r>
    </w:p>
    <w:p>
      <w:pPr>
        <w:spacing w:after="500"/>
        <w:jc w:val="center"/>
      </w:pPr>
      <w:r>
        <w:rPr>
          <w:rFonts w:ascii="Arial" w:cs="Arial" w:eastAsia="Arial" w:hAnsi="Arial"/>
          <w:i/>
          <w:iCs/>
          <w:color w:val="555555"/>
          <w:sz w:val="21"/>
          <w:szCs w:val="21"/>
        </w:rPr>
        <w:t xml:space="preserve">An eight-pillar control framework for the global OTC derivatives market — addressing CCP concentration, shadow-bank leverage, and settlement risk — grounded in BIS, Bank of England, and Federal Reserve data, with corrections to several claims in the original working draft.</w:t>
      </w:r>
    </w:p>
    <w:p>
      <w:pPr>
        <w:spacing w:after="40"/>
        <w:jc w:val="center"/>
      </w:pPr>
      <w:r>
        <w:rPr>
          <w:rFonts w:ascii="Arial" w:cs="Arial" w:eastAsia="Arial" w:hAnsi="Arial"/>
          <w:b/>
          <w:bCs/>
          <w:color w:val="0A2540"/>
          <w:sz w:val="22"/>
          <w:szCs w:val="22"/>
        </w:rPr>
        <w:t xml:space="preserve">Pawan Bhatia</w:t>
      </w:r>
    </w:p>
    <w:p>
      <w:pPr>
        <w:spacing w:after="40"/>
        <w:jc w:val="center"/>
      </w:pPr>
      <w:r>
        <w:rPr>
          <w:rFonts w:ascii="Arial" w:cs="Arial" w:eastAsia="Arial" w:hAnsi="Arial"/>
          <w:color w:val="1A1A1A"/>
          <w:sz w:val="20"/>
          <w:szCs w:val="20"/>
        </w:rPr>
        <w:t xml:space="preserve">NextGen Economics · Bangalore, India</w:t>
      </w:r>
    </w:p>
    <w:p>
      <w:pPr>
        <w:spacing w:after="400"/>
        <w:jc w:val="center"/>
      </w:pPr>
      <w:r>
        <w:rPr>
          <w:rFonts w:ascii="Arial" w:cs="Arial" w:eastAsia="Arial" w:hAnsi="Arial"/>
          <w:color w:val="1A1A1A"/>
          <w:sz w:val="20"/>
          <w:szCs w:val="20"/>
        </w:rPr>
        <w:t xml:space="preserve">First Draft · August 2026</w:t>
      </w:r>
    </w:p>
    <w:p>
      <w:pPr>
        <w:spacing w:after="200"/>
        <w:jc w:val="center"/>
      </w:pPr>
      <w:r>
        <w:rPr>
          <w:rFonts w:ascii="Arial" w:cs="Arial" w:eastAsia="Arial" w:hAnsi="Arial"/>
          <w:i/>
          <w:iCs/>
          <w:color w:val="555555"/>
          <w:sz w:val="18"/>
          <w:szCs w:val="18"/>
        </w:rPr>
        <w:t xml:space="preserve">Compiled with the assistance of AI tools for research synthesis and drafting, and reviewed by NextGen Economics. This is the twelfth white paper published by NextGen Economics, and the first in the Hidden Gems series.</w:t>
      </w:r>
    </w:p>
    <w:p>
      <w:r>
        <w:br w:type="page"/>
      </w:r>
    </w:p>
    <w:p>
      <w:pPr>
        <w:pStyle w:val="Heading1"/>
        <w:spacing w:after="100"/>
      </w:pPr>
      <w:r>
        <w:rPr>
          <w:rFonts w:ascii="Arial" w:cs="Arial" w:eastAsia="Arial" w:hAnsi="Arial"/>
          <w:b/>
          <w:bCs/>
          <w:color w:val="0A2540"/>
          <w:sz w:val="30"/>
          <w:szCs w:val="30"/>
        </w:rPr>
        <w:t xml:space="preserve">Table of Contents</w:t>
      </w:r>
    </w:p>
    <w:p>
      <w:pPr>
        <w:pBdr>
          <w:bottom w:val="single" w:color="9B4A1B" w:sz="12" w:space="8"/>
        </w:pBdr>
        <w:spacing w:after="300"/>
      </w:pPr>
    </w:p>
    <w:p>
      <w:pPr>
        <w:tabs>
          <w:tab w:val="right" w:pos="9026" w:leader="dot"/>
        </w:tabs>
        <w:spacing w:after="140"/>
      </w:pPr>
      <w:r>
        <w:rPr>
          <w:rFonts w:ascii="Arial" w:cs="Arial" w:eastAsia="Arial" w:hAnsi="Arial"/>
          <w:color w:val="1A1A1A"/>
          <w:sz w:val="21"/>
          <w:szCs w:val="21"/>
        </w:rPr>
        <w:t xml:space="preserve">Executive Summary</w:t>
      </w:r>
      <w:r>
        <w:rPr>
          <w:rFonts w:ascii="Arial" w:cs="Arial" w:eastAsia="Arial" w:hAnsi="Arial"/>
          <w:color w:val="9B4A1B"/>
          <w:sz w:val="21"/>
          <w:szCs w:val="21"/>
        </w:rPr>
        <w:t xml:space="preserve">	3</w:t>
      </w:r>
    </w:p>
    <w:p>
      <w:pPr>
        <w:tabs>
          <w:tab w:val="right" w:pos="9026" w:leader="dot"/>
        </w:tabs>
        <w:spacing w:after="140"/>
      </w:pPr>
      <w:r>
        <w:rPr>
          <w:rFonts w:ascii="Arial" w:cs="Arial" w:eastAsia="Arial" w:hAnsi="Arial"/>
          <w:color w:val="1A1A1A"/>
          <w:sz w:val="21"/>
          <w:szCs w:val="21"/>
        </w:rPr>
        <w:t xml:space="preserve">How to Read This Paper</w:t>
      </w:r>
      <w:r>
        <w:rPr>
          <w:rFonts w:ascii="Arial" w:cs="Arial" w:eastAsia="Arial" w:hAnsi="Arial"/>
          <w:color w:val="9B4A1B"/>
          <w:sz w:val="21"/>
          <w:szCs w:val="21"/>
        </w:rPr>
        <w:t xml:space="preserve">	4</w:t>
      </w:r>
    </w:p>
    <w:p>
      <w:pPr>
        <w:tabs>
          <w:tab w:val="right" w:pos="9026" w:leader="dot"/>
        </w:tabs>
        <w:spacing w:after="140"/>
      </w:pPr>
      <w:r>
        <w:rPr>
          <w:rFonts w:ascii="Arial" w:cs="Arial" w:eastAsia="Arial" w:hAnsi="Arial"/>
          <w:color w:val="1A1A1A"/>
          <w:sz w:val="21"/>
          <w:szCs w:val="21"/>
        </w:rPr>
        <w:t xml:space="preserve">Part I — Magnitude, Structure, and the Illusion of Safety</w:t>
      </w:r>
      <w:r>
        <w:rPr>
          <w:rFonts w:ascii="Arial" w:cs="Arial" w:eastAsia="Arial" w:hAnsi="Arial"/>
          <w:color w:val="9B4A1B"/>
          <w:sz w:val="21"/>
          <w:szCs w:val="21"/>
        </w:rPr>
        <w:t xml:space="preserve">	5</w:t>
      </w:r>
    </w:p>
    <w:p>
      <w:pPr>
        <w:tabs>
          <w:tab w:val="right" w:pos="9026" w:leader="dot"/>
        </w:tabs>
        <w:spacing w:after="140"/>
      </w:pPr>
      <w:r>
        <w:rPr>
          <w:rFonts w:ascii="Arial" w:cs="Arial" w:eastAsia="Arial" w:hAnsi="Arial"/>
          <w:color w:val="1A1A1A"/>
          <w:sz w:val="21"/>
          <w:szCs w:val="21"/>
        </w:rPr>
        <w:t xml:space="preserve">Part II — The Double-Edged Sword</w:t>
      </w:r>
      <w:r>
        <w:rPr>
          <w:rFonts w:ascii="Arial" w:cs="Arial" w:eastAsia="Arial" w:hAnsi="Arial"/>
          <w:color w:val="9B4A1B"/>
          <w:sz w:val="21"/>
          <w:szCs w:val="21"/>
        </w:rPr>
        <w:t xml:space="preserve">	8</w:t>
      </w:r>
    </w:p>
    <w:p>
      <w:pPr>
        <w:tabs>
          <w:tab w:val="right" w:pos="9026" w:leader="dot"/>
        </w:tabs>
        <w:spacing w:after="140"/>
      </w:pPr>
      <w:r>
        <w:rPr>
          <w:rFonts w:ascii="Arial" w:cs="Arial" w:eastAsia="Arial" w:hAnsi="Arial"/>
          <w:color w:val="1A1A1A"/>
          <w:sz w:val="21"/>
          <w:szCs w:val="21"/>
        </w:rPr>
        <w:t xml:space="preserve">Part III — Methodology for Risk Assessment</w:t>
      </w:r>
      <w:r>
        <w:rPr>
          <w:rFonts w:ascii="Arial" w:cs="Arial" w:eastAsia="Arial" w:hAnsi="Arial"/>
          <w:color w:val="9B4A1B"/>
          <w:sz w:val="21"/>
          <w:szCs w:val="21"/>
        </w:rPr>
        <w:t xml:space="preserve">	11</w:t>
      </w:r>
    </w:p>
    <w:p>
      <w:pPr>
        <w:tabs>
          <w:tab w:val="right" w:pos="9026" w:leader="dot"/>
        </w:tabs>
        <w:spacing w:after="140"/>
      </w:pPr>
      <w:r>
        <w:rPr>
          <w:rFonts w:ascii="Arial" w:cs="Arial" w:eastAsia="Arial" w:hAnsi="Arial"/>
          <w:color w:val="1A1A1A"/>
          <w:sz w:val="21"/>
          <w:szCs w:val="21"/>
        </w:rPr>
        <w:t xml:space="preserve">Part IV — The Control Framework: Eight Pillars</w:t>
      </w:r>
      <w:r>
        <w:rPr>
          <w:rFonts w:ascii="Arial" w:cs="Arial" w:eastAsia="Arial" w:hAnsi="Arial"/>
          <w:color w:val="9B4A1B"/>
          <w:sz w:val="21"/>
          <w:szCs w:val="21"/>
        </w:rPr>
        <w:t xml:space="preserve">	13</w:t>
      </w:r>
    </w:p>
    <w:p>
      <w:pPr>
        <w:tabs>
          <w:tab w:val="right" w:pos="9026" w:leader="dot"/>
        </w:tabs>
        <w:spacing w:after="140"/>
      </w:pPr>
      <w:r>
        <w:rPr>
          <w:rFonts w:ascii="Arial" w:cs="Arial" w:eastAsia="Arial" w:hAnsi="Arial"/>
          <w:color w:val="1A1A1A"/>
          <w:sz w:val="21"/>
          <w:szCs w:val="21"/>
        </w:rPr>
        <w:t xml:space="preserve">Part V — Anticipating Industry Pushback</w:t>
      </w:r>
      <w:r>
        <w:rPr>
          <w:rFonts w:ascii="Arial" w:cs="Arial" w:eastAsia="Arial" w:hAnsi="Arial"/>
          <w:color w:val="9B4A1B"/>
          <w:sz w:val="21"/>
          <w:szCs w:val="21"/>
        </w:rPr>
        <w:t xml:space="preserve">	18</w:t>
      </w:r>
    </w:p>
    <w:p>
      <w:pPr>
        <w:tabs>
          <w:tab w:val="right" w:pos="9026" w:leader="dot"/>
        </w:tabs>
        <w:spacing w:after="140"/>
      </w:pPr>
      <w:r>
        <w:rPr>
          <w:rFonts w:ascii="Arial" w:cs="Arial" w:eastAsia="Arial" w:hAnsi="Arial"/>
          <w:color w:val="1A1A1A"/>
          <w:sz w:val="21"/>
          <w:szCs w:val="21"/>
        </w:rPr>
        <w:t xml:space="preserve">Part VI — Implementation Roadmap</w:t>
      </w:r>
      <w:r>
        <w:rPr>
          <w:rFonts w:ascii="Arial" w:cs="Arial" w:eastAsia="Arial" w:hAnsi="Arial"/>
          <w:color w:val="9B4A1B"/>
          <w:sz w:val="21"/>
          <w:szCs w:val="21"/>
        </w:rPr>
        <w:t xml:space="preserve">	20</w:t>
      </w:r>
    </w:p>
    <w:p>
      <w:pPr>
        <w:tabs>
          <w:tab w:val="right" w:pos="9026" w:leader="dot"/>
        </w:tabs>
        <w:spacing w:after="140"/>
      </w:pPr>
      <w:r>
        <w:rPr>
          <w:rFonts w:ascii="Arial" w:cs="Arial" w:eastAsia="Arial" w:hAnsi="Arial"/>
          <w:color w:val="1A1A1A"/>
          <w:sz w:val="21"/>
          <w:szCs w:val="21"/>
        </w:rPr>
        <w:t xml:space="preserve">References</w:t>
      </w:r>
      <w:r>
        <w:rPr>
          <w:rFonts w:ascii="Arial" w:cs="Arial" w:eastAsia="Arial" w:hAnsi="Arial"/>
          <w:color w:val="9B4A1B"/>
          <w:sz w:val="21"/>
          <w:szCs w:val="21"/>
        </w:rPr>
        <w:t xml:space="preserve">	22</w:t>
      </w:r>
    </w:p>
    <w:p>
      <w:r>
        <w:br w:type="page"/>
      </w:r>
    </w:p>
    <w:p>
      <w:pPr>
        <w:pStyle w:val="Heading1"/>
        <w:spacing w:after="200" w:before="400"/>
      </w:pPr>
      <w:r>
        <w:rPr>
          <w:rFonts w:ascii="Arial" w:cs="Arial" w:eastAsia="Arial" w:hAnsi="Arial"/>
          <w:b/>
          <w:bCs/>
          <w:color w:val="0A2540"/>
          <w:sz w:val="30"/>
          <w:szCs w:val="30"/>
        </w:rPr>
        <w:t xml:space="preserve">Executive Summary</w:t>
      </w:r>
    </w:p>
    <w:p>
      <w:pPr>
        <w:spacing w:after="200" w:line="276"/>
        <w:jc w:val="both"/>
      </w:pPr>
      <w:r>
        <w:rPr>
          <w:rFonts w:ascii="Arial" w:cs="Arial" w:eastAsia="Arial" w:hAnsi="Arial"/>
          <w:b w:val="false"/>
          <w:bCs w:val="false"/>
          <w:i w:val="false"/>
          <w:iCs w:val="false"/>
          <w:color w:val="1A1A1A"/>
          <w:sz w:val="21"/>
          <w:szCs w:val="21"/>
        </w:rPr>
        <w:t xml:space="preserve">The global over-the-counter (OTC) derivatives market reached $846 trillion in notional value at June 2025 — a 16% year-on-year increase, the largest since before the 2008 crisis. Gross market value, the better measure of actual economic exposure, stood at $21.8 trillion, just 2.6% of notional outstanding. That relationship implies an embedded leverage ratio of roughly 39:1.</w:t>
      </w:r>
    </w:p>
    <w:p>
      <w:pPr>
        <w:spacing w:after="200" w:line="276"/>
        <w:jc w:val="both"/>
      </w:pPr>
      <w:r>
        <w:rPr>
          <w:rFonts w:ascii="Arial" w:cs="Arial" w:eastAsia="Arial" w:hAnsi="Arial"/>
          <w:b w:val="false"/>
          <w:bCs w:val="false"/>
          <w:i w:val="false"/>
          <w:iCs w:val="false"/>
          <w:color w:val="1A1A1A"/>
          <w:sz w:val="21"/>
          <w:szCs w:val="21"/>
        </w:rPr>
        <w:t xml:space="preserve">Derivatives are the financial world's invisible engine. They enable hedging, price discovery, and risk transfer across every asset class. They also concentrate leverage, obscure counterparty exposure, and create transmission channels through which localised shocks can cascade into systemic crises. Non-bank financial intermediaries — hedge funds, private equity firms, and family offices — now account for over 60% of gross derivatives market value while holding a fraction of the capital buffers required of regulated banks. This shadow-banking periphery operates largely beyond the regulatory perimeter, warehousing leverage and, on at least two recent occasions, requiring central bank intervention when volatility spiked.</w:t>
      </w:r>
    </w:p>
    <w:p>
      <w:pPr>
        <w:spacing w:after="200" w:line="276"/>
        <w:jc w:val="both"/>
      </w:pPr>
      <w:r>
        <w:rPr>
          <w:rFonts w:ascii="Arial" w:cs="Arial" w:eastAsia="Arial" w:hAnsi="Arial"/>
          <w:b w:val="false"/>
          <w:bCs w:val="false"/>
          <w:i w:val="false"/>
          <w:iCs w:val="false"/>
          <w:color w:val="1A1A1A"/>
          <w:sz w:val="21"/>
          <w:szCs w:val="21"/>
        </w:rPr>
        <w:t xml:space="preserve">This white paper examines the derivatives market's dual nature and proposes an eight-part control framework — CCP redundancy mandates, a Default-to-Clear principle, volatility-adjusted dynamic leverage caps, and tokenised collateral settlement infrastructure — designed to reduce the market's destabilising scale without eliminating its genuine economic function. It closes with responses to the two arguments industry will make against reform, and a phased implementation roadmap.</w:t>
      </w:r>
    </w:p>
    <w:p>
      <w:r>
        <w:br w:type="page"/>
      </w:r>
    </w:p>
    <w:p>
      <w:pPr>
        <w:pStyle w:val="Heading1"/>
        <w:spacing w:after="200" w:before="400"/>
      </w:pPr>
      <w:r>
        <w:rPr>
          <w:rFonts w:ascii="Arial" w:cs="Arial" w:eastAsia="Arial" w:hAnsi="Arial"/>
          <w:b/>
          <w:bCs/>
          <w:color w:val="0A2540"/>
          <w:sz w:val="30"/>
          <w:szCs w:val="30"/>
        </w:rPr>
        <w:t xml:space="preserve">How to Read This Paper</w:t>
      </w:r>
    </w:p>
    <w:p>
      <w:pPr>
        <w:spacing w:after="200" w:line="276"/>
        <w:jc w:val="both"/>
      </w:pPr>
      <w:r>
        <w:rPr>
          <w:rFonts w:ascii="Arial" w:cs="Arial" w:eastAsia="Arial" w:hAnsi="Arial"/>
          <w:b w:val="false"/>
          <w:bCs w:val="false"/>
          <w:i w:val="false"/>
          <w:iCs w:val="false"/>
          <w:color w:val="1A1A1A"/>
          <w:sz w:val="21"/>
          <w:szCs w:val="21"/>
        </w:rPr>
        <w:t xml:space="preserve">NGE's standard practice is to verify before publishing, name what could not be verified, and correct errors in public when found. This paper's original working draft included a self-graded audit table asserting every claim had passed independent verification. That table was the draft's own self-assessment, not third-party review. This section is the actual verification, completed before publication:</w:t>
      </w:r>
    </w:p>
    <w:p>
      <w:pPr>
        <w:spacing w:after="200" w:line="276"/>
        <w:jc w:val="both"/>
      </w:pPr>
      <w:r>
        <w:rPr>
          <w:rFonts w:ascii="Arial" w:cs="Arial" w:eastAsia="Arial" w:hAnsi="Arial"/>
          <w:b/>
          <w:bCs/>
          <w:color w:val="1A1A1A"/>
          <w:sz w:val="21"/>
          <w:szCs w:val="21"/>
        </w:rPr>
        <w:t xml:space="preserve">Confirmed accurate: </w:t>
      </w:r>
      <w:r>
        <w:rPr>
          <w:rFonts w:ascii="Arial" w:cs="Arial" w:eastAsia="Arial" w:hAnsi="Arial"/>
          <w:color w:val="1A1A1A"/>
          <w:sz w:val="21"/>
          <w:szCs w:val="21"/>
        </w:rPr>
        <w:t xml:space="preserve">the core BIS figures — $846 trillion notional outstanding at June 2025 (+16% YoY), $21.8 trillion gross market value (+29% YoY), interest rate derivatives at 79% of notional, and the concentration statistic that 65 large dealers across 12 reporting countries account for 89% of notional and 67% of gross market value — were checked directly against the BIS's own December 2025 release and match precisely.</w:t>
      </w:r>
    </w:p>
    <w:p>
      <w:pPr>
        <w:spacing w:after="200" w:line="276"/>
        <w:jc w:val="both"/>
      </w:pPr>
      <w:r>
        <w:rPr>
          <w:rFonts w:ascii="Arial" w:cs="Arial" w:eastAsia="Arial" w:hAnsi="Arial"/>
          <w:b/>
          <w:bCs/>
          <w:color w:val="1A1A1A"/>
          <w:sz w:val="21"/>
          <w:szCs w:val="21"/>
        </w:rPr>
        <w:t xml:space="preserve">Corrected — the UK Gilt crisis figure: </w:t>
      </w:r>
      <w:r>
        <w:rPr>
          <w:rFonts w:ascii="Arial" w:cs="Arial" w:eastAsia="Arial" w:hAnsi="Arial"/>
          <w:color w:val="1A1A1A"/>
          <w:sz w:val="21"/>
          <w:szCs w:val="21"/>
        </w:rPr>
        <w:t xml:space="preserve">the original draft stated the Bank of England purchased £65 billion in gilts to stabilise the market. £65 billion was the announced ceiling of the facility; the Bank's own published data shows it actually purchased approximately £19.3 billion before the programme ended on 14 October 2022. That the backstop worked while deploying under a third of its announced capacity is arguably the more interesting fact, and is presented that way below.</w:t>
      </w:r>
    </w:p>
    <w:p>
      <w:pPr>
        <w:spacing w:after="200" w:line="276"/>
        <w:jc w:val="both"/>
      </w:pPr>
      <w:r>
        <w:rPr>
          <w:rFonts w:ascii="Arial" w:cs="Arial" w:eastAsia="Arial" w:hAnsi="Arial"/>
          <w:b/>
          <w:bCs/>
          <w:color w:val="1A1A1A"/>
          <w:sz w:val="21"/>
          <w:szCs w:val="21"/>
        </w:rPr>
        <w:t xml:space="preserve">Corrected — the “October 2024 Treasury flash crash”: </w:t>
      </w:r>
      <w:r>
        <w:rPr>
          <w:rFonts w:ascii="Arial" w:cs="Arial" w:eastAsia="Arial" w:hAnsi="Arial"/>
          <w:color w:val="1A1A1A"/>
          <w:sz w:val="21"/>
          <w:szCs w:val="21"/>
        </w:rPr>
        <w:t xml:space="preserve">NGE could not find evidence of a Treasury market dislocation matching this description in October 2024. The well-documented, comparable event — a hedge-fund basis-trade and swap-spread unwind that drove the 10-year Treasury yield above 4.5% and 30-year yields to their steepest rise since 1981 — occurred in April 2025, triggered by tariff announcements, not in October 2024. The New York Fed's own System Open Market Account manager stated in a subsequent speech that the episode was more precisely a swap-spread unwind than a classic cash-futures basis-trade unwind. This paper uses the corrected date and the more precise mechanism throughout.</w:t>
      </w:r>
    </w:p>
    <w:p>
      <w:pPr>
        <w:spacing w:after="200" w:line="276"/>
        <w:jc w:val="both"/>
      </w:pPr>
      <w:r>
        <w:rPr>
          <w:rFonts w:ascii="Arial" w:cs="Arial" w:eastAsia="Arial" w:hAnsi="Arial"/>
          <w:b/>
          <w:bCs/>
          <w:color w:val="1A1A1A"/>
          <w:sz w:val="21"/>
          <w:szCs w:val="21"/>
        </w:rPr>
        <w:t xml:space="preserve">Flagged, not asserted: </w:t>
      </w:r>
      <w:r>
        <w:rPr>
          <w:rFonts w:ascii="Arial" w:cs="Arial" w:eastAsia="Arial" w:hAnsi="Arial"/>
          <w:color w:val="1A1A1A"/>
          <w:sz w:val="21"/>
          <w:szCs w:val="21"/>
        </w:rPr>
        <w:t xml:space="preserve">the claim that five hedge funds constitute 80% of sterling interest-rate derivatives trading could not be independently verified by NGE at this precision within the time available and should be treated as directionally plausible — sterling IRD trading is known to be concentrated — rather than a confirmed statistic.</w:t>
      </w:r>
    </w:p>
    <w:p>
      <w:pPr>
        <w:spacing w:after="200" w:line="276"/>
        <w:jc w:val="both"/>
      </w:pPr>
      <w:r>
        <w:rPr>
          <w:rFonts w:ascii="Arial" w:cs="Arial" w:eastAsia="Arial" w:hAnsi="Arial"/>
          <w:b/>
          <w:bCs/>
          <w:color w:val="1A1A1A"/>
          <w:sz w:val="21"/>
          <w:szCs w:val="21"/>
        </w:rPr>
        <w:t xml:space="preserve">This paper's own proposal, not existing regulation: </w:t>
      </w:r>
      <w:r>
        <w:rPr>
          <w:rFonts w:ascii="Arial" w:cs="Arial" w:eastAsia="Arial" w:hAnsi="Arial"/>
          <w:color w:val="1A1A1A"/>
          <w:sz w:val="21"/>
          <w:szCs w:val="21"/>
        </w:rPr>
        <w:t xml:space="preserve">all eight pillars, the Duration-Adjusted Exposure and Concentration-Weighted Interconnectedness methodologies, the Cost-Benefit Analysis scoring, and the volatility-adjusted leverage cap mechanism are NGE's original proposals. The CBA Net Benefit Scores attached to each pillar are this paper's own illustrative scoring exercise, not outputs of any regulatory or academic model.</w:t>
      </w:r>
    </w:p>
    <w:p>
      <w:r>
        <w:br w:type="page"/>
      </w:r>
    </w:p>
    <w:p>
      <w:pPr>
        <w:pStyle w:val="Heading1"/>
        <w:spacing w:after="200" w:before="400"/>
      </w:pPr>
      <w:r>
        <w:rPr>
          <w:rFonts w:ascii="Arial" w:cs="Arial" w:eastAsia="Arial" w:hAnsi="Arial"/>
          <w:b/>
          <w:bCs/>
          <w:color w:val="0A2540"/>
          <w:sz w:val="30"/>
          <w:szCs w:val="30"/>
        </w:rPr>
        <w:t xml:space="preserve">Part I: Magnitude, Structure, and the Illusion of Safety</w:t>
      </w:r>
    </w:p>
    <w:p>
      <w:pPr>
        <w:pStyle w:val="Heading2"/>
        <w:spacing w:after="150" w:before="300"/>
      </w:pPr>
      <w:r>
        <w:rPr>
          <w:rFonts w:ascii="Arial" w:cs="Arial" w:eastAsia="Arial" w:hAnsi="Arial"/>
          <w:b/>
          <w:bCs/>
          <w:color w:val="0A2540"/>
          <w:sz w:val="24"/>
          <w:szCs w:val="24"/>
        </w:rPr>
        <w:t xml:space="preserve">1.1 The Numbers That Demand Immediate Attention</w:t>
      </w:r>
    </w:p>
    <w:p>
      <w:pPr>
        <w:spacing w:after="200" w:line="276"/>
        <w:jc w:val="both"/>
      </w:pPr>
      <w:r>
        <w:rPr>
          <w:rFonts w:ascii="Arial" w:cs="Arial" w:eastAsia="Arial" w:hAnsi="Arial"/>
          <w:b w:val="false"/>
          <w:bCs w:val="false"/>
          <w:i w:val="false"/>
          <w:iCs w:val="false"/>
          <w:color w:val="1A1A1A"/>
          <w:sz w:val="21"/>
          <w:szCs w:val="21"/>
        </w:rPr>
        <w:t xml:space="preserve">As of June 2025, the Bank for International Settlements (BIS) reported the following:</w:t>
      </w:r>
    </w:p>
    <w:tbl>
      <w:tblPr>
        <w:tblW w:type="dxa" w:w="9300"/>
        <w:tblBorders>
          <w:top w:val="single" w:color="CCCCCC" w:sz="4"/>
          <w:left w:val="single" w:color="CCCCCC" w:sz="4"/>
          <w:bottom w:val="single" w:color="CCCCCC" w:sz="4"/>
          <w:right w:val="single" w:color="CCCCCC" w:sz="4"/>
          <w:insideH w:val="single" w:color="CCCCCC" w:sz="4"/>
          <w:insideV w:val="single" w:color="CCCCCC" w:sz="4"/>
        </w:tblBorders>
      </w:tblPr>
      <w:tblGrid>
        <w:gridCol w:w="3800"/>
        <w:gridCol w:w="3000"/>
        <w:gridCol w:w="2500"/>
      </w:tblGrid>
      <w:tr>
        <w:trPr>
          <w:tblHeader/>
        </w:trPr>
        <w:tc>
          <w:tcPr>
            <w:tcW w:type="dxa" w:w="3800"/>
            <w:shd w:fill="0A2540" w:val="clear"/>
            <w:tcMar>
              <w:top w:type="dxa" w:w="80"/>
              <w:left w:type="dxa" w:w="100"/>
              <w:bottom w:type="dxa" w:w="80"/>
              <w:right w:type="dxa" w:w="100"/>
            </w:tcMar>
            <w:vAlign w:val="center"/>
          </w:tcPr>
          <w:p>
            <w:r>
              <w:rPr>
                <w:rFonts w:ascii="Arial" w:cs="Arial" w:eastAsia="Arial" w:hAnsi="Arial"/>
                <w:b/>
                <w:bCs/>
                <w:color w:val="FFFFFF"/>
                <w:sz w:val="18"/>
                <w:szCs w:val="18"/>
              </w:rPr>
              <w:t xml:space="preserve">Metric</w:t>
            </w:r>
          </w:p>
        </w:tc>
        <w:tc>
          <w:tcPr>
            <w:tcW w:type="dxa" w:w="3000"/>
            <w:shd w:fill="0A2540" w:val="clear"/>
            <w:tcMar>
              <w:top w:type="dxa" w:w="80"/>
              <w:left w:type="dxa" w:w="100"/>
              <w:bottom w:type="dxa" w:w="80"/>
              <w:right w:type="dxa" w:w="100"/>
            </w:tcMar>
            <w:vAlign w:val="center"/>
          </w:tcPr>
          <w:p>
            <w:r>
              <w:rPr>
                <w:rFonts w:ascii="Arial" w:cs="Arial" w:eastAsia="Arial" w:hAnsi="Arial"/>
                <w:b/>
                <w:bCs/>
                <w:color w:val="FFFFFF"/>
                <w:sz w:val="18"/>
                <w:szCs w:val="18"/>
              </w:rPr>
              <w:t xml:space="preserve">Value (June 2025)</w:t>
            </w:r>
          </w:p>
        </w:tc>
        <w:tc>
          <w:tcPr>
            <w:tcW w:type="dxa" w:w="2500"/>
            <w:shd w:fill="0A2540" w:val="clear"/>
            <w:tcMar>
              <w:top w:type="dxa" w:w="80"/>
              <w:left w:type="dxa" w:w="100"/>
              <w:bottom w:type="dxa" w:w="80"/>
              <w:right w:type="dxa" w:w="100"/>
            </w:tcMar>
            <w:vAlign w:val="center"/>
          </w:tcPr>
          <w:p>
            <w:r>
              <w:rPr>
                <w:rFonts w:ascii="Arial" w:cs="Arial" w:eastAsia="Arial" w:hAnsi="Arial"/>
                <w:b/>
                <w:bCs/>
                <w:color w:val="FFFFFF"/>
                <w:sz w:val="18"/>
                <w:szCs w:val="18"/>
              </w:rPr>
              <w:t xml:space="preserve">YoY Change</w:t>
            </w:r>
          </w:p>
        </w:tc>
      </w:tr>
      <w:tr>
        <w:tc>
          <w:tcPr>
            <w:tcW w:type="dxa" w:w="38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OTC Notional Outstanding</w:t>
            </w:r>
          </w:p>
        </w:tc>
        <w:tc>
          <w:tcPr>
            <w:tcW w:type="dxa" w:w="30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$846 trillion</w:t>
            </w:r>
          </w:p>
        </w:tc>
        <w:tc>
          <w:tcPr>
            <w:tcW w:type="dxa" w:w="25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+16%</w:t>
            </w:r>
          </w:p>
        </w:tc>
      </w:tr>
      <w:tr>
        <w:tc>
          <w:tcPr>
            <w:tcW w:type="dxa" w:w="38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Gross Market Value (Actual Exposure)</w:t>
            </w:r>
          </w:p>
        </w:tc>
        <w:tc>
          <w:tcPr>
            <w:tcW w:type="dxa" w:w="30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$21.8 trillion</w:t>
            </w:r>
          </w:p>
        </w:tc>
        <w:tc>
          <w:tcPr>
            <w:tcW w:type="dxa" w:w="25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+29%</w:t>
            </w:r>
          </w:p>
        </w:tc>
      </w:tr>
      <w:tr>
        <w:tc>
          <w:tcPr>
            <w:tcW w:type="dxa" w:w="38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Interest Rate Derivatives (IRD)</w:t>
            </w:r>
          </w:p>
        </w:tc>
        <w:tc>
          <w:tcPr>
            <w:tcW w:type="dxa" w:w="30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~$665 trillion</w:t>
            </w:r>
          </w:p>
        </w:tc>
        <w:tc>
          <w:tcPr>
            <w:tcW w:type="dxa" w:w="25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+15%</w:t>
            </w:r>
          </w:p>
        </w:tc>
      </w:tr>
      <w:tr>
        <w:tc>
          <w:tcPr>
            <w:tcW w:type="dxa" w:w="38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FX Derivatives</w:t>
            </w:r>
          </w:p>
        </w:tc>
        <w:tc>
          <w:tcPr>
            <w:tcW w:type="dxa" w:w="30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$155 trillion</w:t>
            </w:r>
          </w:p>
        </w:tc>
        <w:tc>
          <w:tcPr>
            <w:tcW w:type="dxa" w:w="25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+19%</w:t>
            </w:r>
          </w:p>
        </w:tc>
      </w:tr>
      <w:tr>
        <w:tc>
          <w:tcPr>
            <w:tcW w:type="dxa" w:w="38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Short-dated FX (≤1 year)</w:t>
            </w:r>
          </w:p>
        </w:tc>
        <w:tc>
          <w:tcPr>
            <w:tcW w:type="dxa" w:w="30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$100 trillion</w:t>
            </w:r>
          </w:p>
        </w:tc>
        <w:tc>
          <w:tcPr>
            <w:tcW w:type="dxa" w:w="25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+22%</w:t>
            </w:r>
          </w:p>
        </w:tc>
      </w:tr>
    </w:tbl>
    <w:p>
      <w:pPr>
        <w:spacing w:after="200"/>
      </w:pPr>
    </w:p>
    <w:p>
      <w:pPr>
        <w:spacing w:after="200" w:line="276"/>
        <w:jc w:val="both"/>
      </w:pPr>
      <w:r>
        <w:rPr>
          <w:rFonts w:ascii="Arial" w:cs="Arial" w:eastAsia="Arial" w:hAnsi="Arial"/>
          <w:b w:val="false"/>
          <w:bCs w:val="false"/>
          <w:i w:val="false"/>
          <w:iCs w:val="false"/>
          <w:color w:val="1A1A1A"/>
          <w:sz w:val="21"/>
          <w:szCs w:val="21"/>
        </w:rPr>
        <w:t xml:space="preserve">Source: BIS OTC derivatives statistics, end-June 2025. The 16% increase is the largest year-on-year rise since before the 2008 financial crisis, and marks a sharp acceleration from the roughly 5% average annual growth the market posted since the end of 2016. The BIS attributed much of the growth to elevated uncertainty over trade, monetary policy outlooks, and geopolitical tensions, with April 2025's tariff-driven volatility fuelling particular activity.</w:t>
      </w:r>
    </w:p>
    <w:p>
      <w:pPr>
        <w:spacing w:after="200" w:line="276"/>
        <w:jc w:val="both"/>
      </w:pPr>
      <w:r>
        <w:rPr>
          <w:rFonts w:ascii="Arial" w:cs="Arial" w:eastAsia="Arial" w:hAnsi="Arial"/>
          <w:b w:val="false"/>
          <w:bCs w:val="false"/>
          <w:i w:val="false"/>
          <w:iCs w:val="false"/>
          <w:color w:val="1A1A1A"/>
          <w:sz w:val="21"/>
          <w:szCs w:val="21"/>
        </w:rPr>
        <w:t xml:space="preserve">Interest rate derivatives alone account for 79% of all OTC derivatives notional, making them the primary driver of the market's expansion. Euro-denominated interest rate contracts grew 24% since June 2024, the single largest driver of gross market value growth.</w:t>
      </w:r>
    </w:p>
    <w:p>
      <w:pPr>
        <w:pStyle w:val="Heading2"/>
        <w:spacing w:after="150" w:before="300"/>
      </w:pPr>
      <w:r>
        <w:rPr>
          <w:rFonts w:ascii="Arial" w:cs="Arial" w:eastAsia="Arial" w:hAnsi="Arial"/>
          <w:b/>
          <w:bCs/>
          <w:color w:val="0A2540"/>
          <w:sz w:val="24"/>
          <w:szCs w:val="24"/>
        </w:rPr>
        <w:t xml:space="preserve">1.2 Concentration and Interconnectedness</w:t>
      </w:r>
    </w:p>
    <w:p>
      <w:pPr>
        <w:spacing w:after="200" w:line="276"/>
        <w:jc w:val="both"/>
      </w:pPr>
      <w:r>
        <w:rPr>
          <w:rFonts w:ascii="Arial" w:cs="Arial" w:eastAsia="Arial" w:hAnsi="Arial"/>
          <w:b w:val="false"/>
          <w:bCs w:val="false"/>
          <w:i w:val="false"/>
          <w:iCs w:val="false"/>
          <w:color w:val="1A1A1A"/>
          <w:sz w:val="21"/>
          <w:szCs w:val="21"/>
        </w:rPr>
        <w:t xml:space="preserve">Despite its immense scale, the OTC derivatives market is dangerously concentrated. Sixty-five large dealers across 12 major reporting countries account for 89% of total notional amounts outstanding and 67% of gross market value — confirmed directly against BIS data. This implies that the failure of even a handful of these institutions could trigger a global liquidity seizure.</w:t>
      </w:r>
    </w:p>
    <w:p>
      <w:pPr>
        <w:spacing w:after="200" w:line="276"/>
        <w:jc w:val="both"/>
      </w:pPr>
      <w:r>
        <w:rPr>
          <w:rFonts w:ascii="Arial" w:cs="Arial" w:eastAsia="Arial" w:hAnsi="Arial"/>
          <w:b w:val="false"/>
          <w:bCs w:val="false"/>
          <w:i w:val="false"/>
          <w:iCs w:val="false"/>
          <w:color w:val="1A1A1A"/>
          <w:sz w:val="21"/>
          <w:szCs w:val="21"/>
        </w:rPr>
        <w:t xml:space="preserve">Hedge funds have become dominant players in specific corners of this market. In the first quarter of 2025, hedge fund leverage was as high as it has been since comprehensive data collection began. Their comparatively light regulatory oversight makes them potentially unstable counterparties in benchmark markets that the rest of the financial system prices off of.</w:t>
      </w:r>
    </w:p>
    <w:p>
      <w:pPr>
        <w:pStyle w:val="Heading2"/>
        <w:spacing w:after="150" w:before="300"/>
      </w:pPr>
      <w:r>
        <w:rPr>
          <w:rFonts w:ascii="Arial" w:cs="Arial" w:eastAsia="Arial" w:hAnsi="Arial"/>
          <w:b/>
          <w:bCs/>
          <w:color w:val="0A2540"/>
          <w:sz w:val="24"/>
          <w:szCs w:val="24"/>
        </w:rPr>
        <w:t xml:space="preserve">1.3 The Leverage Multiplier</w:t>
      </w:r>
    </w:p>
    <w:p>
      <w:pPr>
        <w:spacing w:after="200" w:line="276"/>
        <w:jc w:val="both"/>
      </w:pPr>
      <w:r>
        <w:rPr>
          <w:rFonts w:ascii="Arial" w:cs="Arial" w:eastAsia="Arial" w:hAnsi="Arial"/>
          <w:b w:val="false"/>
          <w:bCs w:val="false"/>
          <w:i w:val="false"/>
          <w:iCs w:val="false"/>
          <w:color w:val="1A1A1A"/>
          <w:sz w:val="21"/>
          <w:szCs w:val="21"/>
        </w:rPr>
        <w:t xml:space="preserve">The relationship between notional and gross market value reveals the leverage embedded in derivatives. With $21.8 trillion in market value against $846 trillion notional, the ratio is approximately 39:1. This does not mean a 2.6% adverse move wipes out the market — gross market value already reflects mark-to-market exposure — but it illustrates how much larger the contractual face value is than the actual risk being warehoused at any moment, and how quickly that gap can matter under stress.</w:t>
      </w:r>
    </w:p>
    <w:p>
      <w:pPr>
        <w:spacing w:after="200" w:line="276"/>
        <w:jc w:val="both"/>
      </w:pPr>
      <w:r>
        <w:rPr>
          <w:rFonts w:ascii="Arial" w:cs="Arial" w:eastAsia="Arial" w:hAnsi="Arial"/>
          <w:b/>
          <w:bCs/>
          <w:color w:val="1A1A1A"/>
          <w:sz w:val="21"/>
          <w:szCs w:val="21"/>
        </w:rPr>
        <w:t xml:space="preserve">As the European Central Bank notes, </w:t>
      </w:r>
      <w:r>
        <w:rPr>
          <w:rFonts w:ascii="Arial" w:cs="Arial" w:eastAsia="Arial" w:hAnsi="Arial"/>
          <w:color w:val="1A1A1A"/>
          <w:sz w:val="21"/>
          <w:szCs w:val="21"/>
        </w:rPr>
        <w:t xml:space="preserve">leverage is a primary source of vulnerability that plays a central role in amplifying return volatility, worsening liquidity stress, and driving contagion across connected institutions.</w:t>
      </w:r>
    </w:p>
    <w:p>
      <w:pPr>
        <w:pStyle w:val="Heading2"/>
        <w:spacing w:after="150" w:before="300"/>
      </w:pPr>
      <w:r>
        <w:rPr>
          <w:rFonts w:ascii="Arial" w:cs="Arial" w:eastAsia="Arial" w:hAnsi="Arial"/>
          <w:b/>
          <w:bCs/>
          <w:color w:val="0A2540"/>
          <w:sz w:val="24"/>
          <w:szCs w:val="24"/>
        </w:rPr>
        <w:t xml:space="preserve">1.4 The Overlooked Settlement Risk (Herstatt Risk)</w:t>
      </w:r>
    </w:p>
    <w:p>
      <w:pPr>
        <w:spacing w:after="200" w:line="276"/>
        <w:jc w:val="both"/>
      </w:pPr>
      <w:r>
        <w:rPr>
          <w:rFonts w:ascii="Arial" w:cs="Arial" w:eastAsia="Arial" w:hAnsi="Arial"/>
          <w:b w:val="false"/>
          <w:bCs w:val="false"/>
          <w:i w:val="false"/>
          <w:iCs w:val="false"/>
          <w:color w:val="1A1A1A"/>
          <w:sz w:val="21"/>
          <w:szCs w:val="21"/>
        </w:rPr>
        <w:t xml:space="preserve">Within the $100 trillion short-dated FX market, settlement risk remains under-addressed. Herstatt risk — the risk that one party settles its payment while the other defaults before completing its side — persists across time-zone gaps. Despite the adoption of Continuous Linked Settlement (CLS) for major currencies, a meaningful share of FX transactions still settle bilaterally, with settlement windows that can exceed the length of a full business day in some corridors. In a stressed market, a major dealer default during one of these windows could trigger a cascade of failed payments and freeze cross-border liquidity.</w:t>
      </w:r>
    </w:p>
    <w:p>
      <w:r>
        <w:br w:type="page"/>
      </w:r>
    </w:p>
    <w:p>
      <w:pPr>
        <w:pStyle w:val="Heading1"/>
        <w:spacing w:after="200" w:before="400"/>
      </w:pPr>
      <w:r>
        <w:rPr>
          <w:rFonts w:ascii="Arial" w:cs="Arial" w:eastAsia="Arial" w:hAnsi="Arial"/>
          <w:b/>
          <w:bCs/>
          <w:color w:val="0A2540"/>
          <w:sz w:val="30"/>
          <w:szCs w:val="30"/>
        </w:rPr>
        <w:t xml:space="preserve">Part II: The Double-Edged Sword — Benefits Versus Systemic Risks</w:t>
      </w:r>
    </w:p>
    <w:p>
      <w:pPr>
        <w:pStyle w:val="Heading2"/>
        <w:spacing w:after="150" w:before="300"/>
      </w:pPr>
      <w:r>
        <w:rPr>
          <w:rFonts w:ascii="Arial" w:cs="Arial" w:eastAsia="Arial" w:hAnsi="Arial"/>
          <w:b/>
          <w:bCs/>
          <w:color w:val="0A2540"/>
          <w:sz w:val="24"/>
          <w:szCs w:val="24"/>
        </w:rPr>
        <w:t xml:space="preserve">2.1 The Vital Benefits</w:t>
      </w:r>
    </w:p>
    <w:p>
      <w:pPr>
        <w:spacing w:after="200" w:line="276"/>
        <w:jc w:val="both"/>
      </w:pPr>
      <w:r>
        <w:rPr>
          <w:rFonts w:ascii="Arial" w:cs="Arial" w:eastAsia="Arial" w:hAnsi="Arial"/>
          <w:b w:val="false"/>
          <w:bCs w:val="false"/>
          <w:i w:val="false"/>
          <w:iCs w:val="false"/>
          <w:color w:val="1A1A1A"/>
          <w:sz w:val="21"/>
          <w:szCs w:val="21"/>
        </w:rPr>
        <w:t xml:space="preserve">Derivatives are not inherently toxic; they serve essential economic functions.</w:t>
      </w:r>
    </w:p>
    <w:p>
      <w:pPr>
        <w:spacing w:after="200" w:line="276"/>
        <w:jc w:val="both"/>
      </w:pPr>
      <w:r>
        <w:rPr>
          <w:rFonts w:ascii="Arial" w:cs="Arial" w:eastAsia="Arial" w:hAnsi="Arial"/>
          <w:b/>
          <w:bCs/>
          <w:color w:val="1A1A1A"/>
          <w:sz w:val="21"/>
          <w:szCs w:val="21"/>
        </w:rPr>
        <w:t xml:space="preserve">Risk Transfer and Hedging: </w:t>
      </w:r>
      <w:r>
        <w:rPr>
          <w:rFonts w:ascii="Arial" w:cs="Arial" w:eastAsia="Arial" w:hAnsi="Arial"/>
          <w:color w:val="1A1A1A"/>
          <w:sz w:val="21"/>
          <w:szCs w:val="21"/>
        </w:rPr>
        <w:t xml:space="preserve">airlines hedge fuel costs, farmers lock in crop prices, pension funds insulate portfolios from interest rate shocks. Derivatives allow real-economy participants to transfer risks they cannot or should not bear on their own balance sheets.</w:t>
      </w:r>
    </w:p>
    <w:p>
      <w:pPr>
        <w:spacing w:after="200" w:line="276"/>
        <w:jc w:val="both"/>
      </w:pPr>
      <w:r>
        <w:rPr>
          <w:rFonts w:ascii="Arial" w:cs="Arial" w:eastAsia="Arial" w:hAnsi="Arial"/>
          <w:b/>
          <w:bCs/>
          <w:color w:val="1A1A1A"/>
          <w:sz w:val="21"/>
          <w:szCs w:val="21"/>
        </w:rPr>
        <w:t xml:space="preserve">Price Discovery: </w:t>
      </w:r>
      <w:r>
        <w:rPr>
          <w:rFonts w:ascii="Arial" w:cs="Arial" w:eastAsia="Arial" w:hAnsi="Arial"/>
          <w:color w:val="1A1A1A"/>
          <w:sz w:val="21"/>
          <w:szCs w:val="21"/>
        </w:rPr>
        <w:t xml:space="preserve">derivatives markets aggregate information from diverse participants into price signals the broader economy relies on. The yield curve, derived substantially from interest rate swaps, informs central bank policy and corporate financing decisions globally.</w:t>
      </w:r>
    </w:p>
    <w:p>
      <w:pPr>
        <w:spacing w:after="200" w:line="276"/>
        <w:jc w:val="both"/>
      </w:pPr>
      <w:r>
        <w:rPr>
          <w:rFonts w:ascii="Arial" w:cs="Arial" w:eastAsia="Arial" w:hAnsi="Arial"/>
          <w:b/>
          <w:bCs/>
          <w:color w:val="1A1A1A"/>
          <w:sz w:val="21"/>
          <w:szCs w:val="21"/>
        </w:rPr>
        <w:t xml:space="preserve">Capital Efficiency: </w:t>
      </w:r>
      <w:r>
        <w:rPr>
          <w:rFonts w:ascii="Arial" w:cs="Arial" w:eastAsia="Arial" w:hAnsi="Arial"/>
          <w:color w:val="1A1A1A"/>
          <w:sz w:val="21"/>
          <w:szCs w:val="21"/>
        </w:rPr>
        <w:t xml:space="preserve">derivatives let institutions manage risk without tying up the full notional value in capital, freeing resources for productive investment. A corporate treasurer can hedge a large FX exposure while posting only a small fraction of that value as initial margin.</w:t>
      </w:r>
    </w:p>
    <w:p>
      <w:pPr>
        <w:pStyle w:val="Heading2"/>
        <w:spacing w:after="150" w:before="300"/>
      </w:pPr>
      <w:r>
        <w:rPr>
          <w:rFonts w:ascii="Arial" w:cs="Arial" w:eastAsia="Arial" w:hAnsi="Arial"/>
          <w:b/>
          <w:bCs/>
          <w:color w:val="0A2540"/>
          <w:sz w:val="24"/>
          <w:szCs w:val="24"/>
        </w:rPr>
        <w:t xml:space="preserve">2.2 The Exponential Risks</w:t>
      </w:r>
    </w:p>
    <w:p>
      <w:pPr>
        <w:spacing w:after="200" w:line="276"/>
        <w:jc w:val="both"/>
      </w:pPr>
      <w:r>
        <w:rPr>
          <w:rFonts w:ascii="Arial" w:cs="Arial" w:eastAsia="Arial" w:hAnsi="Arial"/>
          <w:b w:val="false"/>
          <w:bCs w:val="false"/>
          <w:i w:val="false"/>
          <w:iCs w:val="false"/>
          <w:color w:val="1A1A1A"/>
          <w:sz w:val="21"/>
          <w:szCs w:val="21"/>
        </w:rPr>
        <w:t xml:space="preserve">The same features that create these benefits invert into risk as scale and leverage expand.</w:t>
      </w:r>
    </w:p>
    <w:p>
      <w:pPr>
        <w:spacing w:after="200" w:line="276"/>
        <w:jc w:val="both"/>
      </w:pPr>
      <w:r>
        <w:rPr>
          <w:rFonts w:ascii="Arial" w:cs="Arial" w:eastAsia="Arial" w:hAnsi="Arial"/>
          <w:b/>
          <w:bCs/>
          <w:color w:val="1A1A1A"/>
          <w:sz w:val="21"/>
          <w:szCs w:val="21"/>
        </w:rPr>
        <w:t xml:space="preserve">Counterparty Risk: </w:t>
      </w:r>
      <w:r>
        <w:rPr>
          <w:rFonts w:ascii="Arial" w:cs="Arial" w:eastAsia="Arial" w:hAnsi="Arial"/>
          <w:color w:val="1A1A1A"/>
          <w:sz w:val="21"/>
          <w:szCs w:val="21"/>
        </w:rPr>
        <w:t xml:space="preserve">in bilateral OTC transactions, one counterparty's failure can trigger a cascade. The 2008 financial crisis remains the starkest lesson, where intertwined credit default swaps and mortgage derivatives magnified losses across the financial system.</w:t>
      </w:r>
    </w:p>
    <w:p>
      <w:pPr>
        <w:spacing w:after="200" w:line="276"/>
        <w:jc w:val="both"/>
      </w:pPr>
      <w:r>
        <w:rPr>
          <w:rFonts w:ascii="Arial" w:cs="Arial" w:eastAsia="Arial" w:hAnsi="Arial"/>
          <w:b/>
          <w:bCs/>
          <w:color w:val="1A1A1A"/>
          <w:sz w:val="21"/>
          <w:szCs w:val="21"/>
        </w:rPr>
        <w:t xml:space="preserve">Opacity and Complexity: </w:t>
      </w:r>
      <w:r>
        <w:rPr>
          <w:rFonts w:ascii="Arial" w:cs="Arial" w:eastAsia="Arial" w:hAnsi="Arial"/>
          <w:color w:val="1A1A1A"/>
          <w:sz w:val="21"/>
          <w:szCs w:val="21"/>
        </w:rPr>
        <w:t xml:space="preserve">sheer size can mask hidden vulnerabilities. A relatively small price dislocation in a heavily leveraged segment can trigger margin calls and forced liquidations that spill into correlated assets.</w:t>
      </w:r>
    </w:p>
    <w:p>
      <w:pPr>
        <w:spacing w:after="200" w:line="276"/>
        <w:jc w:val="both"/>
      </w:pPr>
      <w:r>
        <w:rPr>
          <w:rFonts w:ascii="Arial" w:cs="Arial" w:eastAsia="Arial" w:hAnsi="Arial"/>
          <w:b/>
          <w:bCs/>
          <w:color w:val="1A1A1A"/>
          <w:sz w:val="21"/>
          <w:szCs w:val="21"/>
        </w:rPr>
        <w:t xml:space="preserve">Pro-cyclicality: </w:t>
      </w:r>
      <w:r>
        <w:rPr>
          <w:rFonts w:ascii="Arial" w:cs="Arial" w:eastAsia="Arial" w:hAnsi="Arial"/>
          <w:color w:val="1A1A1A"/>
          <w:sz w:val="21"/>
          <w:szCs w:val="21"/>
        </w:rPr>
        <w:t xml:space="preserve">in periods of stress, margin calls amplify selling pressure. Demand for cash rises across the system at precisely the moment liquidity is most needed to offset derivative risk — a self-reinforcing spiral.</w:t>
      </w:r>
    </w:p>
    <w:p>
      <w:pPr>
        <w:spacing w:after="200" w:line="276"/>
        <w:jc w:val="both"/>
      </w:pPr>
      <w:r>
        <w:rPr>
          <w:rFonts w:ascii="Arial" w:cs="Arial" w:eastAsia="Arial" w:hAnsi="Arial"/>
          <w:b/>
          <w:bCs/>
          <w:color w:val="1A1A1A"/>
          <w:sz w:val="21"/>
          <w:szCs w:val="21"/>
        </w:rPr>
        <w:t xml:space="preserve">Regulatory Arbitrage: </w:t>
      </w:r>
      <w:r>
        <w:rPr>
          <w:rFonts w:ascii="Arial" w:cs="Arial" w:eastAsia="Arial" w:hAnsi="Arial"/>
          <w:color w:val="1A1A1A"/>
          <w:sz w:val="21"/>
          <w:szCs w:val="21"/>
        </w:rPr>
        <w:t xml:space="preserve">banks can shift risk-taking activity toward lightly regulated non-bank entities, moving risk outside the regulatory perimeter while retaining interconnected exposure through prime brokerage and repo lending.</w:t>
      </w:r>
    </w:p>
    <w:p>
      <w:pPr>
        <w:pStyle w:val="Heading2"/>
        <w:spacing w:after="150" w:before="300"/>
      </w:pPr>
      <w:r>
        <w:rPr>
          <w:rFonts w:ascii="Arial" w:cs="Arial" w:eastAsia="Arial" w:hAnsi="Arial"/>
          <w:b/>
          <w:bCs/>
          <w:color w:val="0A2540"/>
          <w:sz w:val="24"/>
          <w:szCs w:val="24"/>
        </w:rPr>
        <w:t xml:space="preserve">2.3 The Shadow Banking Transmission Vector</w:t>
      </w:r>
    </w:p>
    <w:p>
      <w:pPr>
        <w:spacing w:after="200" w:line="276"/>
        <w:jc w:val="both"/>
      </w:pPr>
      <w:r>
        <w:rPr>
          <w:rFonts w:ascii="Arial" w:cs="Arial" w:eastAsia="Arial" w:hAnsi="Arial"/>
          <w:b w:val="false"/>
          <w:bCs w:val="false"/>
          <w:i w:val="false"/>
          <w:iCs w:val="false"/>
          <w:color w:val="1A1A1A"/>
          <w:sz w:val="21"/>
          <w:szCs w:val="21"/>
        </w:rPr>
        <w:t xml:space="preserve">This is among the most under-appreciated risks in the current regulatory landscape. Non-bank financial intermediaries — hedge funds, private equity firms, pension funds, and family offices — now account for over 60% of gross derivatives market value while holding a fraction of the capital buffers required of regulated banks.</w:t>
      </w:r>
    </w:p>
    <w:p>
      <w:pPr>
        <w:spacing w:after="200" w:line="276"/>
        <w:jc w:val="both"/>
      </w:pPr>
      <w:r>
        <w:rPr>
          <w:rFonts w:ascii="Arial" w:cs="Arial" w:eastAsia="Arial" w:hAnsi="Arial"/>
          <w:b/>
          <w:bCs/>
          <w:color w:val="1A1A1A"/>
          <w:sz w:val="21"/>
          <w:szCs w:val="21"/>
        </w:rPr>
        <w:t xml:space="preserve">The mechanism: </w:t>
      </w:r>
      <w:r>
        <w:rPr>
          <w:rFonts w:ascii="Arial" w:cs="Arial" w:eastAsia="Arial" w:hAnsi="Arial"/>
          <w:color w:val="1A1A1A"/>
          <w:sz w:val="21"/>
          <w:szCs w:val="21"/>
        </w:rPr>
        <w:t xml:space="preserve">hedge funds build large leveraged derivatives positions through prime brokers, which are regulated banks. The prime brokers extend repo financing and margin loans against posted collateral. The hedge funds themselves typically face no direct leverage caps, no liquidity coverage requirements, and no stress-testing mandates of the kind imposed on the banks financing them.</w:t>
      </w:r>
    </w:p>
    <w:p>
      <w:pPr>
        <w:spacing w:after="200" w:line="276"/>
        <w:jc w:val="both"/>
      </w:pPr>
      <w:r>
        <w:rPr>
          <w:rFonts w:ascii="Arial" w:cs="Arial" w:eastAsia="Arial" w:hAnsi="Arial"/>
          <w:b/>
          <w:bCs/>
          <w:color w:val="1A1A1A"/>
          <w:sz w:val="21"/>
          <w:szCs w:val="21"/>
        </w:rPr>
        <w:t xml:space="preserve">Historical precedent, corrected: </w:t>
      </w:r>
      <w:r>
        <w:rPr>
          <w:rFonts w:ascii="Arial" w:cs="Arial" w:eastAsia="Arial" w:hAnsi="Arial"/>
          <w:color w:val="1A1A1A"/>
          <w:sz w:val="21"/>
          <w:szCs w:val="21"/>
        </w:rPr>
        <w:t xml:space="preserve">during the UK gilt crisis of September–October 2022, liability-driven investment (LDI) funds faced roughly £66 billion in variation margin calls, about 80% tied to repo positions, as gilt yields rose by over 100 basis points in four trading days. The Bank of England announced a facility of up to £65 billion to buy long-dated gilts as buyer of last resort — and in the end purchased approximately £19.3 billion, roughly 30% of the announced ceiling, before the programme closed on 14 October 2022. The announcement itself, more than the full deployment, appears to have done much of the stabilising work. Separately, in April 2025, a hedge-fund basis-trade and swap-spread unwind — triggered by tariff-driven volatility rather than a single dated event — pushed 10-year Treasury yields above 4.5% and drove the steepest 30-year yield rise since 1981, in a episode the New York Fed's own SOMA manager later described as more precisely a swap-spread unwind than a classic basis-trade unwind.</w:t>
      </w:r>
    </w:p>
    <w:p>
      <w:pPr>
        <w:spacing w:after="200" w:line="276"/>
        <w:jc w:val="both"/>
      </w:pPr>
      <w:r>
        <w:rPr>
          <w:rFonts w:ascii="Arial" w:cs="Arial" w:eastAsia="Arial" w:hAnsi="Arial"/>
          <w:b/>
          <w:bCs/>
          <w:color w:val="1A1A1A"/>
          <w:sz w:val="21"/>
          <w:szCs w:val="21"/>
        </w:rPr>
        <w:t xml:space="preserve">The regulatory inversion: </w:t>
      </w:r>
      <w:r>
        <w:rPr>
          <w:rFonts w:ascii="Arial" w:cs="Arial" w:eastAsia="Arial" w:hAnsi="Arial"/>
          <w:color w:val="1A1A1A"/>
          <w:sz w:val="21"/>
          <w:szCs w:val="21"/>
        </w:rPr>
        <w:t xml:space="preserve">in both cases, losses were concentrated in leveraged non-bank funds, while the liquidity backstop came from the central bank. Gains from leveraged strategies accrue privately; the tail losses are absorbed collectively. This asymmetry is the moral hazard this paper's framework is built to address.</w:t>
      </w:r>
    </w:p>
    <w:p>
      <w:r>
        <w:br w:type="page"/>
      </w:r>
    </w:p>
    <w:p>
      <w:pPr>
        <w:pStyle w:val="Heading1"/>
        <w:spacing w:after="200" w:before="400"/>
      </w:pPr>
      <w:r>
        <w:rPr>
          <w:rFonts w:ascii="Arial" w:cs="Arial" w:eastAsia="Arial" w:hAnsi="Arial"/>
          <w:b/>
          <w:bCs/>
          <w:color w:val="0A2540"/>
          <w:sz w:val="30"/>
          <w:szCs w:val="30"/>
        </w:rPr>
        <w:t xml:space="preserve">Part III: Methodology for Systemic Risk Assessment and Control Design</w:t>
      </w:r>
    </w:p>
    <w:p>
      <w:pPr>
        <w:spacing w:after="200" w:line="276"/>
        <w:jc w:val="both"/>
      </w:pPr>
      <w:r>
        <w:rPr>
          <w:rFonts w:ascii="Arial" w:cs="Arial" w:eastAsia="Arial" w:hAnsi="Arial"/>
          <w:b w:val="false"/>
          <w:bCs w:val="false"/>
          <w:i w:val="false"/>
          <w:iCs w:val="false"/>
          <w:color w:val="1A1A1A"/>
          <w:sz w:val="21"/>
          <w:szCs w:val="21"/>
        </w:rPr>
        <w:t xml:space="preserve">To move beyond anecdotal warnings, this paper adopts an explicit, multi-layered methodology to assess risk and evaluate proposed controls. It should be read as this paper's own analytical framework, not an existing regulatory standard.</w:t>
      </w:r>
    </w:p>
    <w:p>
      <w:pPr>
        <w:pStyle w:val="Heading2"/>
        <w:spacing w:after="150" w:before="300"/>
      </w:pPr>
      <w:r>
        <w:rPr>
          <w:rFonts w:ascii="Arial" w:cs="Arial" w:eastAsia="Arial" w:hAnsi="Arial"/>
          <w:b/>
          <w:bCs/>
          <w:color w:val="0A2540"/>
          <w:sz w:val="24"/>
          <w:szCs w:val="24"/>
        </w:rPr>
        <w:t xml:space="preserve">3.1 Risk Quantification Methodology</w:t>
      </w:r>
    </w:p>
    <w:p>
      <w:pPr>
        <w:pStyle w:val="Heading3"/>
        <w:spacing w:after="100" w:before="200"/>
      </w:pPr>
      <w:r>
        <w:rPr>
          <w:rFonts w:ascii="Arial" w:cs="Arial" w:eastAsia="Arial" w:hAnsi="Arial"/>
          <w:b/>
          <w:bCs/>
          <w:color w:val="9B4A1B"/>
          <w:sz w:val="22"/>
          <w:szCs w:val="22"/>
        </w:rPr>
        <w:t xml:space="preserve">1. Leverage-Adjusted Exposure (LAE)</w:t>
      </w:r>
    </w:p>
    <w:p>
      <w:pPr>
        <w:spacing w:after="200" w:line="276"/>
        <w:jc w:val="both"/>
      </w:pPr>
      <w:r>
        <w:rPr>
          <w:rFonts w:ascii="Arial" w:cs="Arial" w:eastAsia="Arial" w:hAnsi="Arial"/>
          <w:b w:val="false"/>
          <w:bCs w:val="false"/>
          <w:i w:val="false"/>
          <w:iCs w:val="false"/>
          <w:color w:val="1A1A1A"/>
          <w:sz w:val="21"/>
          <w:szCs w:val="21"/>
        </w:rPr>
        <w:t xml:space="preserve">Rather than relying on notional amounts alone, LAE weights exposures by delta- and duration-adjusted sensitivity. A 10-year interest rate swap carries significantly higher price sensitivity (duration ~8) than a 1-year swap (duration ~0.5). The formula for a single contract is Notional × Duration × Delta (for options) × Risk-Weight Factor; for a portfolio, LAE is aggregated with correlation adjustments to reflect offsetting positions.</w:t>
      </w:r>
    </w:p>
    <w:p>
      <w:pPr>
        <w:pStyle w:val="Heading3"/>
        <w:spacing w:after="100" w:before="200"/>
      </w:pPr>
      <w:r>
        <w:rPr>
          <w:rFonts w:ascii="Arial" w:cs="Arial" w:eastAsia="Arial" w:hAnsi="Arial"/>
          <w:b/>
          <w:bCs/>
          <w:color w:val="9B4A1B"/>
          <w:sz w:val="22"/>
          <w:szCs w:val="22"/>
        </w:rPr>
        <w:t xml:space="preserve">2. Concentration-Weighted Interconnectedness (CWI)</w:t>
      </w:r>
    </w:p>
    <w:p>
      <w:pPr>
        <w:spacing w:after="200" w:line="276"/>
        <w:jc w:val="both"/>
      </w:pPr>
      <w:r>
        <w:rPr>
          <w:rFonts w:ascii="Arial" w:cs="Arial" w:eastAsia="Arial" w:hAnsi="Arial"/>
          <w:b w:val="false"/>
          <w:bCs w:val="false"/>
          <w:i w:val="false"/>
          <w:iCs w:val="false"/>
          <w:color w:val="1A1A1A"/>
          <w:sz w:val="21"/>
          <w:szCs w:val="21"/>
        </w:rPr>
        <w:t xml:space="preserve">This applies network theory to map bilateral credit exposures among major dealers, identifying “super-spreader” nodes whose failure would affect a large share of the market simultaneously. Using adjacency matrices and eigenvector centrality, institutions are ranked by systemic importance — the number and value of their counterparty connections — rather than by size alone.</w:t>
      </w:r>
    </w:p>
    <w:p>
      <w:pPr>
        <w:pStyle w:val="Heading3"/>
        <w:spacing w:after="100" w:before="200"/>
      </w:pPr>
      <w:r>
        <w:rPr>
          <w:rFonts w:ascii="Arial" w:cs="Arial" w:eastAsia="Arial" w:hAnsi="Arial"/>
          <w:b/>
          <w:bCs/>
          <w:color w:val="9B4A1B"/>
          <w:sz w:val="22"/>
          <w:szCs w:val="22"/>
        </w:rPr>
        <w:t xml:space="preserve">3. Liquidity Stress Duration (LSD)</w:t>
      </w:r>
    </w:p>
    <w:p>
      <w:pPr>
        <w:spacing w:after="200" w:line="276"/>
        <w:jc w:val="both"/>
      </w:pPr>
      <w:r>
        <w:rPr>
          <w:rFonts w:ascii="Arial" w:cs="Arial" w:eastAsia="Arial" w:hAnsi="Arial"/>
          <w:b w:val="false"/>
          <w:bCs w:val="false"/>
          <w:i w:val="false"/>
          <w:iCs w:val="false"/>
          <w:color w:val="1A1A1A"/>
          <w:sz w:val="21"/>
          <w:szCs w:val="21"/>
        </w:rPr>
        <w:t xml:space="preserve">This stress-tests the market's ability to meet variation margin calls under a severe combined market event — for example, a sharp equity drawdown coupled with a large spike in Treasury yields. LSD measures how many days of extreme volatility current collateral pools can withstand before triggering forced liquidations.</w:t>
      </w:r>
    </w:p>
    <w:p>
      <w:pPr>
        <w:pStyle w:val="Heading2"/>
        <w:spacing w:after="150" w:before="300"/>
      </w:pPr>
      <w:r>
        <w:rPr>
          <w:rFonts w:ascii="Arial" w:cs="Arial" w:eastAsia="Arial" w:hAnsi="Arial"/>
          <w:b/>
          <w:bCs/>
          <w:color w:val="0A2540"/>
          <w:sz w:val="24"/>
          <w:szCs w:val="24"/>
        </w:rPr>
        <w:t xml:space="preserve">3.2 Control Evaluation Methodology</w:t>
      </w:r>
    </w:p>
    <w:p>
      <w:pPr>
        <w:spacing w:after="200" w:line="276"/>
        <w:jc w:val="both"/>
      </w:pPr>
      <w:r>
        <w:rPr>
          <w:rFonts w:ascii="Arial" w:cs="Arial" w:eastAsia="Arial" w:hAnsi="Arial"/>
          <w:b w:val="false"/>
          <w:bCs w:val="false"/>
          <w:i w:val="false"/>
          <w:iCs w:val="false"/>
          <w:color w:val="1A1A1A"/>
          <w:sz w:val="21"/>
          <w:szCs w:val="21"/>
        </w:rPr>
        <w:t xml:space="preserve">Each proposed control in Part IV was scored on a Cost-Benefit Analysis (CBA) matrix across four dimensions, each scaled 1–10: Efficacy (how effectively it reduces systemic risk), Economic Drag (how much it restricts legitimate hedging or raises funding costs, where 1 is minimal drag), Arbitrage Resistance (how hard it is to circumvent by moving activity offshore or to shadow banks), and Feasibility (whether it is technically and politically achievable within a five-year horizon). Net Benefit Score = Efficacy – (Economic Drag × 0.5) + Arbitrage Resistance + Feasibility. This scoring is this paper's own illustrative exercise, intended to make trade-offs explicit and comparable — not an output of any external model.</w:t>
      </w:r>
    </w:p>
    <w:p>
      <w:r>
        <w:br w:type="page"/>
      </w:r>
    </w:p>
    <w:p>
      <w:pPr>
        <w:pStyle w:val="Heading1"/>
        <w:spacing w:after="200" w:before="400"/>
      </w:pPr>
      <w:r>
        <w:rPr>
          <w:rFonts w:ascii="Arial" w:cs="Arial" w:eastAsia="Arial" w:hAnsi="Arial"/>
          <w:b/>
          <w:bCs/>
          <w:color w:val="0A2540"/>
          <w:sz w:val="30"/>
          <w:szCs w:val="30"/>
        </w:rPr>
        <w:t xml:space="preserve">Part IV: The Control Framework — Eight Strategic Pillars</w:t>
      </w:r>
    </w:p>
    <w:p>
      <w:pPr>
        <w:pStyle w:val="Heading2"/>
        <w:spacing w:after="150" w:before="300"/>
      </w:pPr>
      <w:r>
        <w:rPr>
          <w:rFonts w:ascii="Arial" w:cs="Arial" w:eastAsia="Arial" w:hAnsi="Arial"/>
          <w:b/>
          <w:bCs/>
          <w:color w:val="0A2540"/>
          <w:sz w:val="24"/>
          <w:szCs w:val="24"/>
        </w:rPr>
        <w:t xml:space="preserve">4.1 Pillar One: Mandatory Central Clearing with CCP Redundancy</w:t>
      </w:r>
    </w:p>
    <w:p>
      <w:pPr>
        <w:spacing w:after="200" w:line="276"/>
        <w:jc w:val="both"/>
      </w:pPr>
      <w:r>
        <w:rPr>
          <w:rFonts w:ascii="Arial" w:cs="Arial" w:eastAsia="Arial" w:hAnsi="Arial"/>
          <w:b w:val="false"/>
          <w:bCs w:val="false"/>
          <w:i w:val="false"/>
          <w:iCs w:val="false"/>
          <w:color w:val="1A1A1A"/>
          <w:sz w:val="21"/>
          <w:szCs w:val="21"/>
        </w:rPr>
        <w:t xml:space="preserve">Objective: eliminate bilateral counterparty risk while preventing single-point-of-failure concentration at central counterparties (CCPs).</w:t>
      </w:r>
    </w:p>
    <w:p>
      <w:pPr>
        <w:spacing w:after="200" w:line="276"/>
        <w:jc w:val="both"/>
      </w:pPr>
      <w:r>
        <w:rPr>
          <w:rFonts w:ascii="Arial" w:cs="Arial" w:eastAsia="Arial" w:hAnsi="Arial"/>
          <w:b w:val="false"/>
          <w:bCs w:val="false"/>
          <w:i w:val="false"/>
          <w:iCs w:val="false"/>
          <w:color w:val="1A1A1A"/>
          <w:sz w:val="21"/>
          <w:szCs w:val="21"/>
        </w:rPr>
        <w:t xml:space="preserve">Method: expand the G20 mandate from “standardized” to all OTC derivatives with a liquid benchmark, including credit and equity derivatives, while strengthening CCP resilience through mandatory skin-in-the-game equity contributions and rigorous recovery and resolution planning.</w:t>
      </w:r>
    </w:p>
    <w:p>
      <w:pPr>
        <w:spacing w:after="200" w:line="276"/>
        <w:jc w:val="both"/>
      </w:pPr>
      <w:r>
        <w:rPr>
          <w:rFonts w:ascii="Arial" w:cs="Arial" w:eastAsia="Arial" w:hAnsi="Arial"/>
          <w:b/>
          <w:bCs/>
          <w:color w:val="1A1A1A"/>
          <w:sz w:val="21"/>
          <w:szCs w:val="21"/>
        </w:rPr>
        <w:t xml:space="preserve">The CCP paradox: </w:t>
      </w:r>
      <w:r>
        <w:rPr>
          <w:rFonts w:ascii="Arial" w:cs="Arial" w:eastAsia="Arial" w:hAnsi="Arial"/>
          <w:color w:val="1A1A1A"/>
          <w:sz w:val="21"/>
          <w:szCs w:val="21"/>
        </w:rPr>
        <w:t xml:space="preserve">critics correctly note that forcing all trades through a small number of major CCPs creates its own monopolistic concentration of risk — if a single CCP fails, the system halts.</w:t>
      </w:r>
    </w:p>
    <w:p>
      <w:pPr>
        <w:spacing w:after="200" w:line="276"/>
        <w:jc w:val="both"/>
      </w:pPr>
      <w:r>
        <w:rPr>
          <w:rFonts w:ascii="Arial" w:cs="Arial" w:eastAsia="Arial" w:hAnsi="Arial"/>
          <w:b/>
          <w:bCs/>
          <w:color w:val="1A1A1A"/>
          <w:sz w:val="21"/>
          <w:szCs w:val="21"/>
        </w:rPr>
        <w:t xml:space="preserve">The proposed fix: </w:t>
      </w:r>
      <w:r>
        <w:rPr>
          <w:rFonts w:ascii="Arial" w:cs="Arial" w:eastAsia="Arial" w:hAnsi="Arial"/>
          <w:color w:val="1A1A1A"/>
          <w:sz w:val="21"/>
          <w:szCs w:val="21"/>
        </w:rPr>
        <w:t xml:space="preserve">a minimum of three globally interoperable CCPs per major asset class (interest rate, FX, credit), maintaining synchronised recovery plans, automatic trade-migration protocols that transfer open positions to a backup CCP within hours of a technical default without re-margining, and joint supervisory examination by the FSB and national regulators.</w:t>
      </w:r>
    </w:p>
    <w:p>
      <w:pPr>
        <w:spacing w:after="200" w:line="276"/>
        <w:jc w:val="both"/>
      </w:pPr>
      <w:r>
        <w:rPr>
          <w:rFonts w:ascii="Arial" w:cs="Arial" w:eastAsia="Arial" w:hAnsi="Arial"/>
          <w:b w:val="false"/>
          <w:bCs w:val="false"/>
          <w:i w:val="false"/>
          <w:iCs w:val="false"/>
          <w:color w:val="1A1A1A"/>
          <w:sz w:val="21"/>
          <w:szCs w:val="21"/>
        </w:rPr>
        <w:t xml:space="preserve">CBA Net Benefit Score (this paper's own scoring): 8.5/10</w:t>
      </w:r>
    </w:p>
    <w:p>
      <w:pPr>
        <w:pStyle w:val="Heading2"/>
        <w:spacing w:after="150" w:before="300"/>
      </w:pPr>
      <w:r>
        <w:rPr>
          <w:rFonts w:ascii="Arial" w:cs="Arial" w:eastAsia="Arial" w:hAnsi="Arial"/>
          <w:b/>
          <w:bCs/>
          <w:color w:val="0A2540"/>
          <w:sz w:val="24"/>
          <w:szCs w:val="24"/>
        </w:rPr>
        <w:t xml:space="preserve">4.2 Pillar Two: Robust and Counter-Cyclical Margin Requirements</w:t>
      </w:r>
    </w:p>
    <w:p>
      <w:pPr>
        <w:spacing w:after="200" w:line="276"/>
        <w:jc w:val="both"/>
      </w:pPr>
      <w:r>
        <w:rPr>
          <w:rFonts w:ascii="Arial" w:cs="Arial" w:eastAsia="Arial" w:hAnsi="Arial"/>
          <w:b w:val="false"/>
          <w:bCs w:val="false"/>
          <w:i w:val="false"/>
          <w:iCs w:val="false"/>
          <w:color w:val="1A1A1A"/>
          <w:sz w:val="21"/>
          <w:szCs w:val="21"/>
        </w:rPr>
        <w:t xml:space="preserve">Objective: build margin buffers during calm periods to absorb shocks during stress, rather than let margin requirements spike pro-cyclically exactly when liquidity is scarcest.</w:t>
      </w:r>
    </w:p>
    <w:p>
      <w:pPr>
        <w:spacing w:after="200" w:line="276"/>
        <w:jc w:val="both"/>
      </w:pPr>
      <w:r>
        <w:rPr>
          <w:rFonts w:ascii="Arial" w:cs="Arial" w:eastAsia="Arial" w:hAnsi="Arial"/>
          <w:b w:val="false"/>
          <w:bCs w:val="false"/>
          <w:i w:val="false"/>
          <w:iCs w:val="false"/>
          <w:color w:val="1A1A1A"/>
          <w:sz w:val="21"/>
          <w:szCs w:val="21"/>
        </w:rPr>
        <w:t xml:space="preserve">Method: eliminate zero-haircut lending in the repo market — the Bank of England has noted that a substantial share of non-centrally cleared gilt repo trades occur at zero haircut, letting funds build leverage at minimal cost. Introduce counter-cyclical margin floors set against long-term historical volatility (e.g., a ten-year lookback) rather than short-term realised volatility, to prevent margin spirals.</w:t>
      </w:r>
    </w:p>
    <w:p>
      <w:pPr>
        <w:spacing w:after="200" w:line="276"/>
        <w:jc w:val="both"/>
      </w:pPr>
      <w:r>
        <w:rPr>
          <w:rFonts w:ascii="Arial" w:cs="Arial" w:eastAsia="Arial" w:hAnsi="Arial"/>
          <w:b w:val="false"/>
          <w:bCs w:val="false"/>
          <w:i w:val="false"/>
          <w:iCs w:val="false"/>
          <w:color w:val="1A1A1A"/>
          <w:sz w:val="21"/>
          <w:szCs w:val="21"/>
        </w:rPr>
        <w:t xml:space="preserve">CBA Net Benefit Score: 8.0/10</w:t>
      </w:r>
    </w:p>
    <w:p>
      <w:pPr>
        <w:pStyle w:val="Heading2"/>
        <w:spacing w:after="150" w:before="300"/>
      </w:pPr>
      <w:r>
        <w:rPr>
          <w:rFonts w:ascii="Arial" w:cs="Arial" w:eastAsia="Arial" w:hAnsi="Arial"/>
          <w:b/>
          <w:bCs/>
          <w:color w:val="0A2540"/>
          <w:sz w:val="24"/>
          <w:szCs w:val="24"/>
        </w:rPr>
        <w:t xml:space="preserve">4.3 Pillar Three: Comprehensive Global Trade Reporting</w:t>
      </w:r>
    </w:p>
    <w:p>
      <w:pPr>
        <w:spacing w:after="200" w:line="276"/>
        <w:jc w:val="both"/>
      </w:pPr>
      <w:r>
        <w:rPr>
          <w:rFonts w:ascii="Arial" w:cs="Arial" w:eastAsia="Arial" w:hAnsi="Arial"/>
          <w:b w:val="false"/>
          <w:bCs w:val="false"/>
          <w:i w:val="false"/>
          <w:iCs w:val="false"/>
          <w:color w:val="1A1A1A"/>
          <w:sz w:val="21"/>
          <w:szCs w:val="21"/>
        </w:rPr>
        <w:t xml:space="preserve">Objective: achieve real visibility into derivatives positions, including those held by shadow banks currently outside consolidated reporting.</w:t>
      </w:r>
    </w:p>
    <w:p>
      <w:pPr>
        <w:spacing w:after="200" w:line="276"/>
        <w:jc w:val="both"/>
      </w:pPr>
      <w:r>
        <w:rPr>
          <w:rFonts w:ascii="Arial" w:cs="Arial" w:eastAsia="Arial" w:hAnsi="Arial"/>
          <w:b w:val="false"/>
          <w:bCs w:val="false"/>
          <w:i w:val="false"/>
          <w:iCs w:val="false"/>
          <w:color w:val="1A1A1A"/>
          <w:sz w:val="21"/>
          <w:szCs w:val="21"/>
        </w:rPr>
        <w:t xml:space="preserve">Method: mandate global adoption of the Unique Product Identifier (UPI) and Unique Transaction Identifier (UTI) with real-time reporting to a consolidated data warehouse. Current data is fragmented across national trade repositories; this paper proposes a BIS-hosted data-sharing arrangement granting real-time read access to major central banks, enabling monitoring of shadow-bank leverage build-up as it happens rather than after the fact.</w:t>
      </w:r>
    </w:p>
    <w:p>
      <w:pPr>
        <w:spacing w:after="200" w:line="276"/>
        <w:jc w:val="both"/>
      </w:pPr>
      <w:r>
        <w:rPr>
          <w:rFonts w:ascii="Arial" w:cs="Arial" w:eastAsia="Arial" w:hAnsi="Arial"/>
          <w:b w:val="false"/>
          <w:bCs w:val="false"/>
          <w:i w:val="false"/>
          <w:iCs w:val="false"/>
          <w:color w:val="1A1A1A"/>
          <w:sz w:val="21"/>
          <w:szCs w:val="21"/>
        </w:rPr>
        <w:t xml:space="preserve">CBA Net Benefit Score: 10/10</w:t>
      </w:r>
    </w:p>
    <w:p>
      <w:pPr>
        <w:pStyle w:val="Heading2"/>
        <w:spacing w:after="150" w:before="300"/>
      </w:pPr>
      <w:r>
        <w:rPr>
          <w:rFonts w:ascii="Arial" w:cs="Arial" w:eastAsia="Arial" w:hAnsi="Arial"/>
          <w:b/>
          <w:bCs/>
          <w:color w:val="0A2540"/>
          <w:sz w:val="24"/>
          <w:szCs w:val="24"/>
        </w:rPr>
        <w:t xml:space="preserve">4.4 Pillar Four: Risk-Based Synthetic Leverage Limits</w:t>
      </w:r>
    </w:p>
    <w:p>
      <w:pPr>
        <w:spacing w:after="200" w:line="276"/>
        <w:jc w:val="both"/>
      </w:pPr>
      <w:r>
        <w:rPr>
          <w:rFonts w:ascii="Arial" w:cs="Arial" w:eastAsia="Arial" w:hAnsi="Arial"/>
          <w:b w:val="false"/>
          <w:bCs w:val="false"/>
          <w:i w:val="false"/>
          <w:iCs w:val="false"/>
          <w:color w:val="1A1A1A"/>
          <w:sz w:val="21"/>
          <w:szCs w:val="21"/>
        </w:rPr>
        <w:t xml:space="preserve">Objective: address the ~39:1 notional-to-market-value ratio with dynamic, volatility-adjusted caps rather than static notional limits, which this paper argues are structurally too blunt.</w:t>
      </w:r>
    </w:p>
    <w:p>
      <w:pPr>
        <w:spacing w:after="200" w:line="276"/>
        <w:jc w:val="both"/>
      </w:pPr>
      <w:r>
        <w:rPr>
          <w:rFonts w:ascii="Arial" w:cs="Arial" w:eastAsia="Arial" w:hAnsi="Arial"/>
          <w:b w:val="false"/>
          <w:bCs w:val="false"/>
          <w:i w:val="false"/>
          <w:iCs w:val="false"/>
          <w:color w:val="1A1A1A"/>
          <w:sz w:val="21"/>
          <w:szCs w:val="21"/>
        </w:rPr>
        <w:t xml:space="preserve">Method: adopt the Duration-Adjusted Exposure (DAE) methodology from Part III. A $100 million notional 30-year swap (duration ~20) would count as roughly $2 billion DAE, while a $100 million overnight indexed swap (duration ~0.25) counts as roughly $25 million — reflecting genuinely different risk, not just face value.</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left w:val="single" w:color="9B4A1B" w:sz="24"/>
            </w:tcBorders>
            <w:shd w:fill="F2F2F2" w:val="clear"/>
            <w:tcMar>
              <w:top w:type="dxa" w:w="200"/>
              <w:left w:type="dxa" w:w="240"/>
              <w:bottom w:type="dxa" w:w="200"/>
              <w:right w:type="dxa" w:w="240"/>
            </w:tcMar>
          </w:tcPr>
          <w:p>
            <w:pPr>
              <w:spacing w:after="80"/>
            </w:pPr>
            <w:r>
              <w:rPr>
                <w:rFonts w:ascii="Arial" w:cs="Arial" w:eastAsia="Arial" w:hAnsi="Arial"/>
                <w:b/>
                <w:bCs/>
                <w:color w:val="9B4A1B"/>
                <w:sz w:val="17"/>
                <w:szCs w:val="17"/>
              </w:rPr>
              <w:t xml:space="preserve">The Dynamic Cap Mechanism</w:t>
            </w:r>
          </w:p>
          <w:p>
            <w:pPr>
              <w:jc w:val="both"/>
            </w:pPr>
            <w:r>
              <w:rPr>
                <w:rFonts w:ascii="Arial" w:cs="Arial" w:eastAsia="Arial" w:hAnsi="Arial"/>
                <w:color w:val="1A1A1A"/>
                <w:sz w:val="20"/>
                <w:szCs w:val="20"/>
              </w:rPr>
              <w:t xml:space="preserve">Rather than a single rigid NAV multiple, this paper proposes a volatility-adjusted cap: 5x Net Asset Value when the VIX is below 15 (low volatility), 3x NAV between 15 and 30 (normal volatility), and 2x NAV above 30 (high volatility). This is intended to let funds pursue leveraged strategies during calm markets while forcing deleveraging before volatility spikes — precisely when leverage has historically done the most damage.</w:t>
            </w:r>
          </w:p>
        </w:tc>
      </w:tr>
    </w:tbl>
    <w:p>
      <w:pPr>
        <w:spacing w:after="200"/>
      </w:pPr>
    </w:p>
    <w:p>
      <w:pPr>
        <w:spacing w:after="200" w:line="276"/>
        <w:jc w:val="both"/>
      </w:pPr>
      <w:r>
        <w:rPr>
          <w:rFonts w:ascii="Arial" w:cs="Arial" w:eastAsia="Arial" w:hAnsi="Arial"/>
          <w:b w:val="false"/>
          <w:bCs w:val="false"/>
          <w:i w:val="false"/>
          <w:iCs w:val="false"/>
          <w:color w:val="1A1A1A"/>
          <w:sz w:val="21"/>
          <w:szCs w:val="21"/>
        </w:rPr>
        <w:t xml:space="preserve">CBA Net Benefit Score: 7.5/10</w:t>
      </w:r>
    </w:p>
    <w:p>
      <w:pPr>
        <w:pStyle w:val="Heading2"/>
        <w:spacing w:after="150" w:before="300"/>
      </w:pPr>
      <w:r>
        <w:rPr>
          <w:rFonts w:ascii="Arial" w:cs="Arial" w:eastAsia="Arial" w:hAnsi="Arial"/>
          <w:b/>
          <w:bCs/>
          <w:color w:val="0A2540"/>
          <w:sz w:val="24"/>
          <w:szCs w:val="24"/>
        </w:rPr>
        <w:t xml:space="preserve">4.5 Pillar Five: Counterparty Exposure Limits</w:t>
      </w:r>
    </w:p>
    <w:p>
      <w:pPr>
        <w:spacing w:after="200" w:line="276"/>
        <w:jc w:val="both"/>
      </w:pPr>
      <w:r>
        <w:rPr>
          <w:rFonts w:ascii="Arial" w:cs="Arial" w:eastAsia="Arial" w:hAnsi="Arial"/>
          <w:b w:val="false"/>
          <w:bCs w:val="false"/>
          <w:i w:val="false"/>
          <w:iCs w:val="false"/>
          <w:color w:val="1A1A1A"/>
          <w:sz w:val="21"/>
          <w:szCs w:val="21"/>
        </w:rPr>
        <w:t xml:space="preserve">Objective: reduce “too-interconnected-to-fail” concentration among the largest dealers and funds.</w:t>
      </w:r>
    </w:p>
    <w:p>
      <w:pPr>
        <w:spacing w:after="200" w:line="276"/>
        <w:jc w:val="both"/>
      </w:pPr>
      <w:r>
        <w:rPr>
          <w:rFonts w:ascii="Arial" w:cs="Arial" w:eastAsia="Arial" w:hAnsi="Arial"/>
          <w:b w:val="false"/>
          <w:bCs w:val="false"/>
          <w:i w:val="false"/>
          <w:iCs w:val="false"/>
          <w:color w:val="1A1A1A"/>
          <w:sz w:val="21"/>
          <w:szCs w:val="21"/>
        </w:rPr>
        <w:t xml:space="preserve">Method: impose a systemic surcharge on any institution holding more than 5% of total gross exposure in a specific asset class, using the CWI methodology from Part III to identify institutions occupying structurally critical positions in the network and requiring additional capital buffers against exposure to those nodes.</w:t>
      </w:r>
    </w:p>
    <w:p>
      <w:pPr>
        <w:spacing w:after="200" w:line="276"/>
        <w:jc w:val="both"/>
      </w:pPr>
      <w:r>
        <w:rPr>
          <w:rFonts w:ascii="Arial" w:cs="Arial" w:eastAsia="Arial" w:hAnsi="Arial"/>
          <w:b w:val="false"/>
          <w:bCs w:val="false"/>
          <w:i w:val="false"/>
          <w:iCs w:val="false"/>
          <w:color w:val="1A1A1A"/>
          <w:sz w:val="21"/>
          <w:szCs w:val="21"/>
        </w:rPr>
        <w:t xml:space="preserve">CBA Net Benefit Score: 8.0/10</w:t>
      </w:r>
    </w:p>
    <w:p>
      <w:pPr>
        <w:pStyle w:val="Heading2"/>
        <w:spacing w:after="150" w:before="300"/>
      </w:pPr>
      <w:r>
        <w:rPr>
          <w:rFonts w:ascii="Arial" w:cs="Arial" w:eastAsia="Arial" w:hAnsi="Arial"/>
          <w:b/>
          <w:bCs/>
          <w:color w:val="0A2540"/>
          <w:sz w:val="24"/>
          <w:szCs w:val="24"/>
        </w:rPr>
        <w:t xml:space="preserve">4.6 Pillar Six: The “Default-to-Clear” Principle</w:t>
      </w:r>
    </w:p>
    <w:p>
      <w:pPr>
        <w:spacing w:after="200" w:line="276"/>
        <w:jc w:val="both"/>
      </w:pPr>
      <w:r>
        <w:rPr>
          <w:rFonts w:ascii="Arial" w:cs="Arial" w:eastAsia="Arial" w:hAnsi="Arial"/>
          <w:b w:val="false"/>
          <w:bCs w:val="false"/>
          <w:i w:val="false"/>
          <w:iCs w:val="false"/>
          <w:color w:val="1A1A1A"/>
          <w:sz w:val="21"/>
          <w:szCs w:val="21"/>
        </w:rPr>
        <w:t xml:space="preserve">Objective: close the standardization loophole through which dealers re-engineer standardized swaps with minor tweaks to keep them in the bilateral, uncleared, opaque bucket.</w:t>
      </w:r>
    </w:p>
    <w:p>
      <w:pPr>
        <w:spacing w:after="200" w:line="276"/>
        <w:jc w:val="both"/>
      </w:pPr>
      <w:r>
        <w:rPr>
          <w:rFonts w:ascii="Arial" w:cs="Arial" w:eastAsia="Arial" w:hAnsi="Arial"/>
          <w:b w:val="false"/>
          <w:bCs w:val="false"/>
          <w:i w:val="false"/>
          <w:iCs w:val="false"/>
          <w:color w:val="1A1A1A"/>
          <w:sz w:val="21"/>
          <w:szCs w:val="21"/>
        </w:rPr>
        <w:t xml:space="preserve">Method: shift the burden of proof. Under this proposal, a derivative is presumed “default-to-clear” unless the dealer can demonstrate to the regulator that it is genuinely bespoke — containing cash-flow structures a CCP cannot reasonably process. The default presumption becomes clearing, not exemption.</w:t>
      </w:r>
    </w:p>
    <w:p>
      <w:pPr>
        <w:spacing w:after="200" w:line="276"/>
        <w:jc w:val="both"/>
      </w:pPr>
      <w:r>
        <w:rPr>
          <w:rFonts w:ascii="Arial" w:cs="Arial" w:eastAsia="Arial" w:hAnsi="Arial"/>
          <w:b w:val="false"/>
          <w:bCs w:val="false"/>
          <w:i w:val="false"/>
          <w:iCs w:val="false"/>
          <w:color w:val="1A1A1A"/>
          <w:sz w:val="21"/>
          <w:szCs w:val="21"/>
        </w:rPr>
        <w:t xml:space="preserve">CBA Net Benefit Score: 8.5/10</w:t>
      </w:r>
    </w:p>
    <w:p>
      <w:pPr>
        <w:pStyle w:val="Heading2"/>
        <w:spacing w:after="150" w:before="300"/>
      </w:pPr>
      <w:r>
        <w:rPr>
          <w:rFonts w:ascii="Arial" w:cs="Arial" w:eastAsia="Arial" w:hAnsi="Arial"/>
          <w:b/>
          <w:bCs/>
          <w:color w:val="0A2540"/>
          <w:sz w:val="24"/>
          <w:szCs w:val="24"/>
        </w:rPr>
        <w:t xml:space="preserve">4.7 Pillar Seven: Digital Infrastructure and Tokenized Collateral</w:t>
      </w:r>
    </w:p>
    <w:p>
      <w:pPr>
        <w:spacing w:after="200" w:line="276"/>
        <w:jc w:val="both"/>
      </w:pPr>
      <w:r>
        <w:rPr>
          <w:rFonts w:ascii="Arial" w:cs="Arial" w:eastAsia="Arial" w:hAnsi="Arial"/>
          <w:b w:val="false"/>
          <w:bCs w:val="false"/>
          <w:i w:val="false"/>
          <w:iCs w:val="false"/>
          <w:color w:val="1A1A1A"/>
          <w:sz w:val="21"/>
          <w:szCs w:val="21"/>
        </w:rPr>
        <w:t xml:space="preserve">Objective: modernise settlement to reduce Herstatt risk and improve collateral mobility.</w:t>
      </w:r>
    </w:p>
    <w:p>
      <w:pPr>
        <w:spacing w:after="200" w:line="276"/>
        <w:jc w:val="both"/>
      </w:pPr>
      <w:r>
        <w:rPr>
          <w:rFonts w:ascii="Arial" w:cs="Arial" w:eastAsia="Arial" w:hAnsi="Arial"/>
          <w:b w:val="false"/>
          <w:bCs w:val="false"/>
          <w:i w:val="false"/>
          <w:iCs w:val="false"/>
          <w:color w:val="1A1A1A"/>
          <w:sz w:val="21"/>
          <w:szCs w:val="21"/>
        </w:rPr>
        <w:t xml:space="preserve">Method: accelerate adoption of distributed ledger technology for intra-day margin settlement. Current settlement in parts of the market still takes T+2 days, leaving meaningful exposure windows open. Tokenised money-market funds and wholesale central bank digital currency pilots could enable continuous, atomic delivery-versus-payment settlement, with smart contracts optimising collateral pools in real time.</w:t>
      </w:r>
    </w:p>
    <w:p>
      <w:pPr>
        <w:spacing w:after="200" w:line="276"/>
        <w:jc w:val="both"/>
      </w:pPr>
      <w:r>
        <w:rPr>
          <w:rFonts w:ascii="Arial" w:cs="Arial" w:eastAsia="Arial" w:hAnsi="Arial"/>
          <w:b/>
          <w:bCs/>
          <w:color w:val="1A1A1A"/>
          <w:sz w:val="21"/>
          <w:szCs w:val="21"/>
        </w:rPr>
        <w:t xml:space="preserve">Key benefit: </w:t>
      </w:r>
      <w:r>
        <w:rPr>
          <w:rFonts w:ascii="Arial" w:cs="Arial" w:eastAsia="Arial" w:hAnsi="Arial"/>
          <w:color w:val="1A1A1A"/>
          <w:sz w:val="21"/>
          <w:szCs w:val="21"/>
        </w:rPr>
        <w:t xml:space="preserve">for the $100 trillion short-dated FX market specifically, atomic settlement could reduce Herstatt-style settlement risk substantially by closing the multi-hour exposure window described in Part I.</w:t>
      </w:r>
    </w:p>
    <w:p>
      <w:pPr>
        <w:spacing w:after="200" w:line="276"/>
        <w:jc w:val="both"/>
      </w:pPr>
      <w:r>
        <w:rPr>
          <w:rFonts w:ascii="Arial" w:cs="Arial" w:eastAsia="Arial" w:hAnsi="Arial"/>
          <w:b w:val="false"/>
          <w:bCs w:val="false"/>
          <w:i w:val="false"/>
          <w:iCs w:val="false"/>
          <w:color w:val="1A1A1A"/>
          <w:sz w:val="21"/>
          <w:szCs w:val="21"/>
        </w:rPr>
        <w:t xml:space="preserve">CBA Net Benefit Score: 9.0/10</w:t>
      </w:r>
    </w:p>
    <w:p>
      <w:pPr>
        <w:pStyle w:val="Heading2"/>
        <w:spacing w:after="150" w:before="300"/>
      </w:pPr>
      <w:r>
        <w:rPr>
          <w:rFonts w:ascii="Arial" w:cs="Arial" w:eastAsia="Arial" w:hAnsi="Arial"/>
          <w:b/>
          <w:bCs/>
          <w:color w:val="0A2540"/>
          <w:sz w:val="24"/>
          <w:szCs w:val="24"/>
        </w:rPr>
        <w:t xml:space="preserve">4.8 Pillar Eight: International Regulatory Harmonization &amp; Governance</w:t>
      </w:r>
    </w:p>
    <w:p>
      <w:pPr>
        <w:spacing w:after="200" w:line="276"/>
        <w:jc w:val="both"/>
      </w:pPr>
      <w:r>
        <w:rPr>
          <w:rFonts w:ascii="Arial" w:cs="Arial" w:eastAsia="Arial" w:hAnsi="Arial"/>
          <w:b w:val="false"/>
          <w:bCs w:val="false"/>
          <w:i w:val="false"/>
          <w:iCs w:val="false"/>
          <w:color w:val="1A1A1A"/>
          <w:sz w:val="21"/>
          <w:szCs w:val="21"/>
        </w:rPr>
        <w:t xml:space="preserve">Objective: close cross-border arbitrage loopholes that let activity escape a strong national rule by relocating to a weaker jurisdiction.</w:t>
      </w:r>
    </w:p>
    <w:p>
      <w:pPr>
        <w:spacing w:after="200" w:line="276"/>
        <w:jc w:val="both"/>
      </w:pPr>
      <w:r>
        <w:rPr>
          <w:rFonts w:ascii="Arial" w:cs="Arial" w:eastAsia="Arial" w:hAnsi="Arial"/>
          <w:b w:val="false"/>
          <w:bCs w:val="false"/>
          <w:i w:val="false"/>
          <w:iCs w:val="false"/>
          <w:color w:val="1A1A1A"/>
          <w:sz w:val="21"/>
          <w:szCs w:val="21"/>
        </w:rPr>
        <w:t xml:space="preserve">Method: move beyond the Financial Stability Board's current advisory role toward a body with binding cross-border resolution authority. National regulators would need to agree a mutual recognition and enforcement framework ensuring a restriction imposed in one major jurisdiction cannot simply be routed around via a shell entity elsewhere, and to standardise capital charges to reduce the incentive for regulatory shopping.</w:t>
      </w:r>
    </w:p>
    <w:p>
      <w:pPr>
        <w:spacing w:after="200" w:line="276"/>
        <w:jc w:val="both"/>
      </w:pPr>
      <w:r>
        <w:rPr>
          <w:rFonts w:ascii="Arial" w:cs="Arial" w:eastAsia="Arial" w:hAnsi="Arial"/>
          <w:b w:val="false"/>
          <w:bCs w:val="false"/>
          <w:i w:val="false"/>
          <w:iCs w:val="false"/>
          <w:color w:val="1A1A1A"/>
          <w:sz w:val="21"/>
          <w:szCs w:val="21"/>
        </w:rPr>
        <w:t xml:space="preserve">CBA Net Benefit Score: 6.5/10 — politically the hardest pillar, but this paper argues an essential one; without it, the other seven pillars are each individually easier to arbitrage around.</w:t>
      </w:r>
    </w:p>
    <w:p>
      <w:r>
        <w:br w:type="page"/>
      </w:r>
    </w:p>
    <w:p>
      <w:pPr>
        <w:pStyle w:val="Heading1"/>
        <w:spacing w:after="200" w:before="400"/>
      </w:pPr>
      <w:r>
        <w:rPr>
          <w:rFonts w:ascii="Arial" w:cs="Arial" w:eastAsia="Arial" w:hAnsi="Arial"/>
          <w:b/>
          <w:bCs/>
          <w:color w:val="0A2540"/>
          <w:sz w:val="30"/>
          <w:szCs w:val="30"/>
        </w:rPr>
        <w:t xml:space="preserve">Part V: Anticipating Industry Pushback</w:t>
      </w:r>
    </w:p>
    <w:p>
      <w:pPr>
        <w:spacing w:after="200" w:line="276"/>
        <w:jc w:val="both"/>
      </w:pPr>
      <w:r>
        <w:rPr>
          <w:rFonts w:ascii="Arial" w:cs="Arial" w:eastAsia="Arial" w:hAnsi="Arial"/>
          <w:b w:val="false"/>
          <w:bCs w:val="false"/>
          <w:i w:val="false"/>
          <w:iCs w:val="false"/>
          <w:color w:val="1A1A1A"/>
          <w:sz w:val="21"/>
          <w:szCs w:val="21"/>
        </w:rPr>
        <w:t xml:space="preserve">Reform at this scale will face real opposition from the banking and hedge fund industries. Two arguments are addressed directly below, on their strongest terms rather than as strawmen.</w:t>
      </w:r>
    </w:p>
    <w:p>
      <w:pPr>
        <w:pStyle w:val="Heading2"/>
        <w:spacing w:after="150" w:before="300"/>
      </w:pPr>
      <w:r>
        <w:rPr>
          <w:rFonts w:ascii="Arial" w:cs="Arial" w:eastAsia="Arial" w:hAnsi="Arial"/>
          <w:b/>
          <w:bCs/>
          <w:color w:val="0A2540"/>
          <w:sz w:val="24"/>
          <w:szCs w:val="24"/>
        </w:rPr>
        <w:t xml:space="preserve">5.1 “Reduced Liquidity Will Hurt the Real Economy”</w:t>
      </w:r>
    </w:p>
    <w:p>
      <w:pPr>
        <w:spacing w:after="200" w:line="276"/>
        <w:jc w:val="both"/>
      </w:pPr>
      <w:r>
        <w:rPr>
          <w:rFonts w:ascii="Arial" w:cs="Arial" w:eastAsia="Arial" w:hAnsi="Arial"/>
          <w:b/>
          <w:bCs/>
          <w:color w:val="1A1A1A"/>
          <w:sz w:val="21"/>
          <w:szCs w:val="21"/>
        </w:rPr>
        <w:t xml:space="preserve">The pushback: </w:t>
      </w:r>
      <w:r>
        <w:rPr>
          <w:rFonts w:ascii="Arial" w:cs="Arial" w:eastAsia="Arial" w:hAnsi="Arial"/>
          <w:color w:val="1A1A1A"/>
          <w:sz w:val="21"/>
          <w:szCs w:val="21"/>
        </w:rPr>
        <w:t xml:space="preserve">corporate treasurers would face wider bid-ask spreads on FX hedges, and higher margin requirements would reduce market-making activity, raising hedging costs for airlines, farmers, and pension funds.</w:t>
      </w:r>
    </w:p>
    <w:p>
      <w:pPr>
        <w:spacing w:after="200" w:line="276"/>
        <w:jc w:val="both"/>
      </w:pPr>
      <w:r>
        <w:rPr>
          <w:rFonts w:ascii="Arial" w:cs="Arial" w:eastAsia="Arial" w:hAnsi="Arial"/>
          <w:b/>
          <w:bCs/>
          <w:color w:val="1A1A1A"/>
          <w:sz w:val="21"/>
          <w:szCs w:val="21"/>
        </w:rPr>
        <w:t xml:space="preserve">The response: </w:t>
      </w:r>
      <w:r>
        <w:rPr>
          <w:rFonts w:ascii="Arial" w:cs="Arial" w:eastAsia="Arial" w:hAnsi="Arial"/>
          <w:color w:val="1A1A1A"/>
          <w:sz w:val="21"/>
          <w:szCs w:val="21"/>
        </w:rPr>
        <w:t xml:space="preserve">the 2008 financial crisis erased an estimated $10 trillion or more from global GDP. Even a meaningfully higher ongoing hedging cost is a modest insurance premium against a repeat of that scale of loss. Pillar Seven's settlement modernisation could also materially offset some of that added cost by reducing reconciliation failures and settlement delays. And a financial system prone to periodic freezes is not, in any durable sense, more liquid than a more stable one — the appearance of abundant liquidity before 2008 evaporated in weeks.</w:t>
      </w:r>
    </w:p>
    <w:p>
      <w:pPr>
        <w:pStyle w:val="Heading2"/>
        <w:spacing w:after="150" w:before="300"/>
      </w:pPr>
      <w:r>
        <w:rPr>
          <w:rFonts w:ascii="Arial" w:cs="Arial" w:eastAsia="Arial" w:hAnsi="Arial"/>
          <w:b/>
          <w:bCs/>
          <w:color w:val="0A2540"/>
          <w:sz w:val="24"/>
          <w:szCs w:val="24"/>
        </w:rPr>
        <w:t xml:space="preserve">5.2 “Leverage Caps Destroy Hedge Fund Alpha”</w:t>
      </w:r>
    </w:p>
    <w:p>
      <w:pPr>
        <w:spacing w:after="200" w:line="276"/>
        <w:jc w:val="both"/>
      </w:pPr>
      <w:r>
        <w:rPr>
          <w:rFonts w:ascii="Arial" w:cs="Arial" w:eastAsia="Arial" w:hAnsi="Arial"/>
          <w:b/>
          <w:bCs/>
          <w:color w:val="1A1A1A"/>
          <w:sz w:val="21"/>
          <w:szCs w:val="21"/>
        </w:rPr>
        <w:t xml:space="preserve">The pushback: </w:t>
      </w:r>
      <w:r>
        <w:rPr>
          <w:rFonts w:ascii="Arial" w:cs="Arial" w:eastAsia="Arial" w:hAnsi="Arial"/>
          <w:color w:val="1A1A1A"/>
          <w:sz w:val="21"/>
          <w:szCs w:val="21"/>
        </w:rPr>
        <w:t xml:space="preserve">leverage is essential to arbitrage strategies — relative-value trading, basis trading — that improve market efficiency; a rigid cap prevents funds from exploiting mispricings.</w:t>
      </w:r>
    </w:p>
    <w:p>
      <w:pPr>
        <w:spacing w:after="200" w:line="276"/>
        <w:jc w:val="both"/>
      </w:pPr>
      <w:r>
        <w:rPr>
          <w:rFonts w:ascii="Arial" w:cs="Arial" w:eastAsia="Arial" w:hAnsi="Arial"/>
          <w:b/>
          <w:bCs/>
          <w:color w:val="1A1A1A"/>
          <w:sz w:val="21"/>
          <w:szCs w:val="21"/>
        </w:rPr>
        <w:t xml:space="preserve">The response: </w:t>
      </w:r>
      <w:r>
        <w:rPr>
          <w:rFonts w:ascii="Arial" w:cs="Arial" w:eastAsia="Arial" w:hAnsi="Arial"/>
          <w:color w:val="1A1A1A"/>
          <w:sz w:val="21"/>
          <w:szCs w:val="21"/>
        </w:rPr>
        <w:t xml:space="preserve">the volatility-adjusted dynamic cap in Pillar Four preserves full flexibility during calm markets (5x NAV when VIX is below 15) and only tightens exactly when leverage becomes most dangerous. Some strategies that rely on very high leverage function less like skill-based alpha generation and more like selling disaster insurance during quiet periods — collecting small, steady premiums until a tail event forces a disorderly unwind. The UK gilt episode and the April 2025 Treasury unwind are both examples of leveraged funds forced to liquidate at fire-sale prices precisely because leverage had outrun their ability to absorb a shock. A dynamic cap constrains that specific failure mode without constraining genuine skill-based trading in normal markets.</w:t>
      </w:r>
    </w:p>
    <w:p>
      <w:r>
        <w:br w:type="page"/>
      </w:r>
    </w:p>
    <w:p>
      <w:pPr>
        <w:pStyle w:val="Heading1"/>
        <w:spacing w:after="200" w:before="400"/>
      </w:pPr>
      <w:r>
        <w:rPr>
          <w:rFonts w:ascii="Arial" w:cs="Arial" w:eastAsia="Arial" w:hAnsi="Arial"/>
          <w:b/>
          <w:bCs/>
          <w:color w:val="0A2540"/>
          <w:sz w:val="30"/>
          <w:szCs w:val="30"/>
        </w:rPr>
        <w:t xml:space="preserve">Part VI: Implementation Roadmap</w:t>
      </w:r>
    </w:p>
    <w:p>
      <w:pPr>
        <w:pStyle w:val="Heading2"/>
        <w:spacing w:after="150" w:before="300"/>
      </w:pPr>
      <w:r>
        <w:rPr>
          <w:rFonts w:ascii="Arial" w:cs="Arial" w:eastAsia="Arial" w:hAnsi="Arial"/>
          <w:b/>
          <w:bCs/>
          <w:color w:val="0A2540"/>
          <w:sz w:val="24"/>
          <w:szCs w:val="24"/>
        </w:rPr>
        <w:t xml:space="preserve">6.1 Near-Term Priorities (12–24 Months)</w:t>
      </w:r>
    </w:p>
    <w:tbl>
      <w:tblPr>
        <w:tblW w:type="dxa" w:w="9300"/>
        <w:tblBorders>
          <w:top w:val="single" w:color="CCCCCC" w:sz="4"/>
          <w:left w:val="single" w:color="CCCCCC" w:sz="4"/>
          <w:bottom w:val="single" w:color="CCCCCC" w:sz="4"/>
          <w:right w:val="single" w:color="CCCCCC" w:sz="4"/>
          <w:insideH w:val="single" w:color="CCCCCC" w:sz="4"/>
          <w:insideV w:val="single" w:color="CCCCCC" w:sz="4"/>
        </w:tblBorders>
      </w:tblPr>
      <w:tblGrid>
        <w:gridCol w:w="4200"/>
        <w:gridCol w:w="2600"/>
        <w:gridCol w:w="2500"/>
      </w:tblGrid>
      <w:tr>
        <w:trPr>
          <w:tblHeader/>
        </w:trPr>
        <w:tc>
          <w:tcPr>
            <w:tcW w:type="dxa" w:w="4200"/>
            <w:shd w:fill="0A2540" w:val="clear"/>
            <w:tcMar>
              <w:top w:type="dxa" w:w="80"/>
              <w:left w:type="dxa" w:w="100"/>
              <w:bottom w:type="dxa" w:w="80"/>
              <w:right w:type="dxa" w:w="100"/>
            </w:tcMar>
            <w:vAlign w:val="center"/>
          </w:tcPr>
          <w:p>
            <w:r>
              <w:rPr>
                <w:rFonts w:ascii="Arial" w:cs="Arial" w:eastAsia="Arial" w:hAnsi="Arial"/>
                <w:b/>
                <w:bCs/>
                <w:color w:val="FFFFFF"/>
                <w:sz w:val="18"/>
                <w:szCs w:val="18"/>
              </w:rPr>
              <w:t xml:space="preserve">Action Item</w:t>
            </w:r>
          </w:p>
        </w:tc>
        <w:tc>
          <w:tcPr>
            <w:tcW w:type="dxa" w:w="2600"/>
            <w:shd w:fill="0A2540" w:val="clear"/>
            <w:tcMar>
              <w:top w:type="dxa" w:w="80"/>
              <w:left w:type="dxa" w:w="100"/>
              <w:bottom w:type="dxa" w:w="80"/>
              <w:right w:type="dxa" w:w="100"/>
            </w:tcMar>
            <w:vAlign w:val="center"/>
          </w:tcPr>
          <w:p>
            <w:r>
              <w:rPr>
                <w:rFonts w:ascii="Arial" w:cs="Arial" w:eastAsia="Arial" w:hAnsi="Arial"/>
                <w:b/>
                <w:bCs/>
                <w:color w:val="FFFFFF"/>
                <w:sz w:val="18"/>
                <w:szCs w:val="18"/>
              </w:rPr>
              <w:t xml:space="preserve">Owner</w:t>
            </w:r>
          </w:p>
        </w:tc>
        <w:tc>
          <w:tcPr>
            <w:tcW w:type="dxa" w:w="2500"/>
            <w:shd w:fill="0A2540" w:val="clear"/>
            <w:tcMar>
              <w:top w:type="dxa" w:w="80"/>
              <w:left w:type="dxa" w:w="100"/>
              <w:bottom w:type="dxa" w:w="80"/>
              <w:right w:type="dxa" w:w="100"/>
            </w:tcMar>
            <w:vAlign w:val="center"/>
          </w:tcPr>
          <w:p>
            <w:r>
              <w:rPr>
                <w:rFonts w:ascii="Arial" w:cs="Arial" w:eastAsia="Arial" w:hAnsi="Arial"/>
                <w:b/>
                <w:bCs/>
                <w:color w:val="FFFFFF"/>
                <w:sz w:val="18"/>
                <w:szCs w:val="18"/>
              </w:rPr>
              <w:t xml:space="preserve">Illustrative Target</w:t>
            </w:r>
          </w:p>
        </w:tc>
      </w:tr>
      <w:tr>
        <w:tc>
          <w:tcPr>
            <w:tcW w:type="dxa" w:w="42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Eliminate zero-haircut lending in major repo markets</w:t>
            </w:r>
          </w:p>
        </w:tc>
        <w:tc>
          <w:tcPr>
            <w:tcW w:type="dxa" w:w="26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FSB / Basel</w:t>
            </w:r>
          </w:p>
        </w:tc>
        <w:tc>
          <w:tcPr>
            <w:tcW w:type="dxa" w:w="25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Within 24 months</w:t>
            </w:r>
          </w:p>
        </w:tc>
      </w:tr>
      <w:tr>
        <w:tc>
          <w:tcPr>
            <w:tcW w:type="dxa" w:w="42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Complete G20 clearing-mandate implementation across jurisdictions</w:t>
            </w:r>
          </w:p>
        </w:tc>
        <w:tc>
          <w:tcPr>
            <w:tcW w:type="dxa" w:w="26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National Regulators</w:t>
            </w:r>
          </w:p>
        </w:tc>
        <w:tc>
          <w:tcPr>
            <w:tcW w:type="dxa" w:w="25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Within 24 months</w:t>
            </w:r>
          </w:p>
        </w:tc>
      </w:tr>
      <w:tr>
        <w:tc>
          <w:tcPr>
            <w:tcW w:type="dxa" w:w="42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Achieve global UPI/UTI adoption for unified trade reporting</w:t>
            </w:r>
          </w:p>
        </w:tc>
        <w:tc>
          <w:tcPr>
            <w:tcW w:type="dxa" w:w="26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BIS / IOSCO</w:t>
            </w:r>
          </w:p>
        </w:tc>
        <w:tc>
          <w:tcPr>
            <w:tcW w:type="dxa" w:w="25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Within 30 months</w:t>
            </w:r>
          </w:p>
        </w:tc>
      </w:tr>
      <w:tr>
        <w:tc>
          <w:tcPr>
            <w:tcW w:type="dxa" w:w="42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Mandate shadow-bank reporting to trade repositories</w:t>
            </w:r>
          </w:p>
        </w:tc>
        <w:tc>
          <w:tcPr>
            <w:tcW w:type="dxa" w:w="26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National Regulators</w:t>
            </w:r>
          </w:p>
        </w:tc>
        <w:tc>
          <w:tcPr>
            <w:tcW w:type="dxa" w:w="25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Within 18 months</w:t>
            </w:r>
          </w:p>
        </w:tc>
      </w:tr>
    </w:tbl>
    <w:p>
      <w:pPr>
        <w:spacing w:after="200"/>
      </w:pPr>
    </w:p>
    <w:p>
      <w:pPr>
        <w:pStyle w:val="Heading2"/>
        <w:spacing w:after="150" w:before="300"/>
      </w:pPr>
      <w:r>
        <w:rPr>
          <w:rFonts w:ascii="Arial" w:cs="Arial" w:eastAsia="Arial" w:hAnsi="Arial"/>
          <w:b/>
          <w:bCs/>
          <w:color w:val="0A2540"/>
          <w:sz w:val="24"/>
          <w:szCs w:val="24"/>
        </w:rPr>
        <w:t xml:space="preserve">6.2 Medium-Term Goals (2–5 Years)</w:t>
      </w:r>
    </w:p>
    <w:p>
      <w:pPr>
        <w:pStyle w:val="ListParagraph"/>
        <w:numPr>
          <w:ilvl w:val="0"/>
          <w:numId w:val="1"/>
        </w:numPr>
        <w:spacing w:after="120" w:line="276"/>
      </w:pPr>
      <w:r>
        <w:rPr>
          <w:rFonts w:ascii="Arial" w:cs="Arial" w:eastAsia="Arial" w:hAnsi="Arial"/>
          <w:color w:val="1A1A1A"/>
          <w:sz w:val="21"/>
          <w:szCs w:val="21"/>
        </w:rPr>
        <w:t xml:space="preserve">Expand mandatory central clearing to credit, equity, and standard FX derivatives.</w:t>
      </w:r>
    </w:p>
    <w:p>
      <w:pPr>
        <w:pStyle w:val="ListParagraph"/>
        <w:numPr>
          <w:ilvl w:val="0"/>
          <w:numId w:val="1"/>
        </w:numPr>
        <w:spacing w:after="120" w:line="276"/>
      </w:pPr>
      <w:r>
        <w:rPr>
          <w:rFonts w:ascii="Arial" w:cs="Arial" w:eastAsia="Arial" w:hAnsi="Arial"/>
          <w:color w:val="1A1A1A"/>
          <w:sz w:val="21"/>
          <w:szCs w:val="21"/>
        </w:rPr>
        <w:t xml:space="preserve">Implement Duration-Adjusted Exposure reporting for major non-bank intermediaries.</w:t>
      </w:r>
    </w:p>
    <w:p>
      <w:pPr>
        <w:pStyle w:val="ListParagraph"/>
        <w:numPr>
          <w:ilvl w:val="0"/>
          <w:numId w:val="1"/>
        </w:numPr>
        <w:spacing w:after="120" w:line="276"/>
      </w:pPr>
      <w:r>
        <w:rPr>
          <w:rFonts w:ascii="Arial" w:cs="Arial" w:eastAsia="Arial" w:hAnsi="Arial"/>
          <w:color w:val="1A1A1A"/>
          <w:sz w:val="21"/>
          <w:szCs w:val="21"/>
        </w:rPr>
        <w:t xml:space="preserve">Pilot a tokenised collateral management system, including wholesale CBDC integration.</w:t>
      </w:r>
    </w:p>
    <w:p>
      <w:pPr>
        <w:pStyle w:val="ListParagraph"/>
        <w:numPr>
          <w:ilvl w:val="0"/>
          <w:numId w:val="1"/>
        </w:numPr>
        <w:spacing w:after="120" w:line="276"/>
      </w:pPr>
      <w:r>
        <w:rPr>
          <w:rFonts w:ascii="Arial" w:cs="Arial" w:eastAsia="Arial" w:hAnsi="Arial"/>
          <w:color w:val="1A1A1A"/>
          <w:sz w:val="21"/>
          <w:szCs w:val="21"/>
        </w:rPr>
        <w:t xml:space="preserve">Establish the first “Default-to-Clear” legal framework in a major jurisdiction.</w:t>
      </w:r>
    </w:p>
    <w:p>
      <w:pPr>
        <w:pStyle w:val="Heading2"/>
        <w:spacing w:after="150" w:before="300"/>
      </w:pPr>
      <w:r>
        <w:rPr>
          <w:rFonts w:ascii="Arial" w:cs="Arial" w:eastAsia="Arial" w:hAnsi="Arial"/>
          <w:b/>
          <w:bCs/>
          <w:color w:val="0A2540"/>
          <w:sz w:val="24"/>
          <w:szCs w:val="24"/>
        </w:rPr>
        <w:t xml:space="preserve">6.3 Long-Term Vision (5–10 Years)</w:t>
      </w:r>
    </w:p>
    <w:p>
      <w:pPr>
        <w:pStyle w:val="ListParagraph"/>
        <w:numPr>
          <w:ilvl w:val="0"/>
          <w:numId w:val="1"/>
        </w:numPr>
        <w:spacing w:after="120" w:line="276"/>
      </w:pPr>
      <w:r>
        <w:rPr>
          <w:rFonts w:ascii="Arial" w:cs="Arial" w:eastAsia="Arial" w:hAnsi="Arial"/>
          <w:color w:val="1A1A1A"/>
          <w:sz w:val="21"/>
          <w:szCs w:val="21"/>
        </w:rPr>
        <w:t xml:space="preserve">Migrate the majority of cleared derivatives toward distributed-ledger-based settlement.</w:t>
      </w:r>
    </w:p>
    <w:p>
      <w:pPr>
        <w:pStyle w:val="ListParagraph"/>
        <w:numPr>
          <w:ilvl w:val="0"/>
          <w:numId w:val="1"/>
        </w:numPr>
        <w:spacing w:after="120" w:line="276"/>
      </w:pPr>
      <w:r>
        <w:rPr>
          <w:rFonts w:ascii="Arial" w:cs="Arial" w:eastAsia="Arial" w:hAnsi="Arial"/>
          <w:color w:val="1A1A1A"/>
          <w:sz w:val="21"/>
          <w:szCs w:val="21"/>
        </w:rPr>
        <w:t xml:space="preserve">Establish binding cross-border governance for derivatives markets, building on the FSB's existing role.</w:t>
      </w:r>
    </w:p>
    <w:p>
      <w:pPr>
        <w:pStyle w:val="ListParagraph"/>
        <w:numPr>
          <w:ilvl w:val="0"/>
          <w:numId w:val="1"/>
        </w:numPr>
        <w:spacing w:after="120" w:line="276"/>
      </w:pPr>
      <w:r>
        <w:rPr>
          <w:rFonts w:ascii="Arial" w:cs="Arial" w:eastAsia="Arial" w:hAnsi="Arial"/>
          <w:color w:val="1A1A1A"/>
          <w:sz w:val="21"/>
          <w:szCs w:val="21"/>
        </w:rPr>
        <w:t xml:space="preserve">Achieve the data convergence needed for real-time, system-wide risk monitoring.</w:t>
      </w:r>
    </w:p>
    <w:p>
      <w:pPr>
        <w:spacing w:after="200" w:line="276"/>
        <w:jc w:val="both"/>
      </w:pPr>
      <w:r>
        <w:rPr>
          <w:rFonts w:ascii="Arial" w:cs="Arial" w:eastAsia="Arial" w:hAnsi="Arial"/>
          <w:b w:val="false"/>
          <w:bCs w:val="false"/>
          <w:i w:val="false"/>
          <w:iCs w:val="false"/>
          <w:color w:val="1A1A1A"/>
          <w:sz w:val="21"/>
          <w:szCs w:val="21"/>
        </w:rPr>
        <w:t xml:space="preserve">These are illustrative timelines reflecting this paper's own sense of a reasonable sequencing, not commitments from any regulator named above.</w:t>
      </w:r>
    </w:p>
    <w:p>
      <w:r>
        <w:br w:type="page"/>
      </w:r>
    </w:p>
    <w:p>
      <w:pPr>
        <w:pStyle w:val="Heading1"/>
        <w:spacing w:after="200" w:before="400"/>
      </w:pPr>
      <w:r>
        <w:rPr>
          <w:rFonts w:ascii="Arial" w:cs="Arial" w:eastAsia="Arial" w:hAnsi="Arial"/>
          <w:b/>
          <w:bCs/>
          <w:color w:val="0A2540"/>
          <w:sz w:val="30"/>
          <w:szCs w:val="30"/>
        </w:rPr>
        <w:t xml:space="preserve">Conclusion</w:t>
      </w:r>
    </w:p>
    <w:p>
      <w:pPr>
        <w:spacing w:after="200" w:line="276"/>
        <w:jc w:val="both"/>
      </w:pPr>
      <w:r>
        <w:rPr>
          <w:rFonts w:ascii="Arial" w:cs="Arial" w:eastAsia="Arial" w:hAnsi="Arial"/>
          <w:b w:val="false"/>
          <w:bCs w:val="false"/>
          <w:i w:val="false"/>
          <w:iCs w:val="false"/>
          <w:color w:val="1A1A1A"/>
          <w:sz w:val="21"/>
          <w:szCs w:val="21"/>
        </w:rPr>
        <w:t xml:space="preserve">The derivatives market is the financial world's invisible engine — powerful, essential, and, under the wrong conditions, destructive. At $846 trillion in notional value, with the fastest growth rate since before 2008 and an embedded leverage ratio near 39:1, it warrants sustained attention.</w:t>
      </w:r>
    </w:p>
    <w:p>
      <w:pPr>
        <w:spacing w:after="200" w:line="276"/>
        <w:jc w:val="both"/>
      </w:pPr>
      <w:r>
        <w:rPr>
          <w:rFonts w:ascii="Arial" w:cs="Arial" w:eastAsia="Arial" w:hAnsi="Arial"/>
          <w:b w:val="false"/>
          <w:bCs w:val="false"/>
          <w:i w:val="false"/>
          <w:iCs w:val="false"/>
          <w:color w:val="1A1A1A"/>
          <w:sz w:val="21"/>
          <w:szCs w:val="21"/>
        </w:rPr>
        <w:t xml:space="preserve">The benefits are real: hedging, price discovery, and capital efficiency that the real economy depends on. The risks are equally real: counterparty failure, leverage amplification, opacity, pro-cyclicality, shadow-banking arbitrage, CCP concentration, and settlement risk. 2008 was one warning. The 2022 UK gilt crisis and the April 2025 Treasury market unwind were further ones — smaller in scale, but built from the same underlying mechanism: leveraged non-bank positions forced into disorderly liquidation, with central banks absorbing the tail risk that private actors had been paid to take on.</w:t>
      </w:r>
    </w:p>
    <w:p>
      <w:pPr>
        <w:spacing w:after="200" w:line="276"/>
        <w:jc w:val="both"/>
      </w:pPr>
      <w:r>
        <w:rPr>
          <w:rFonts w:ascii="Arial" w:cs="Arial" w:eastAsia="Arial" w:hAnsi="Arial"/>
          <w:b w:val="false"/>
          <w:bCs w:val="false"/>
          <w:i w:val="false"/>
          <w:iCs w:val="false"/>
          <w:color w:val="1A1A1A"/>
          <w:sz w:val="21"/>
          <w:szCs w:val="21"/>
        </w:rPr>
        <w:t xml:space="preserve">This paper has outlined an eight-pillar framework — central clearing with CCP redundancy, counter-cyclical margins, global trade reporting, dynamic leverage limits, counterparty exposure limits, the Default-to-Clear principle, tokenised settlement infrastructure, and international governance — as one coherent proposal for reducing the market's most dangerous failure modes without dismantling its genuine economic function. Whether these specific eight pillars are the right ones is a question for regulators and researchers to test and contest. That the underlying imbalance — profits privatised in normal times, tail losses socialised in stressed ones — deserves a considered answer is, this paper argues, no longer seriously in dispute.</w:t>
      </w:r>
    </w:p>
    <w:p>
      <w:r>
        <w:br w:type="page"/>
      </w:r>
    </w:p>
    <w:p>
      <w:pPr>
        <w:pStyle w:val="Heading1"/>
        <w:spacing w:after="200" w:before="400"/>
      </w:pPr>
      <w:r>
        <w:rPr>
          <w:rFonts w:ascii="Arial" w:cs="Arial" w:eastAsia="Arial" w:hAnsi="Arial"/>
          <w:b/>
          <w:bCs/>
          <w:color w:val="0A2540"/>
          <w:sz w:val="30"/>
          <w:szCs w:val="30"/>
        </w:rPr>
        <w:t xml:space="preserve">References</w:t>
      </w:r>
    </w:p>
    <w:p>
      <w:pPr>
        <w:spacing w:after="140" w:line="264"/>
        <w:ind w:left="360" w:hanging="360"/>
      </w:pPr>
      <w:r>
        <w:rPr>
          <w:rFonts w:ascii="Arial" w:cs="Arial" w:eastAsia="Arial" w:hAnsi="Arial"/>
          <w:color w:val="1A1A1A"/>
          <w:sz w:val="20"/>
          <w:szCs w:val="20"/>
        </w:rPr>
        <w:t xml:space="preserve">1. </w:t>
      </w:r>
      <w:r>
        <w:rPr>
          <w:rFonts w:ascii="Arial" w:cs="Arial" w:eastAsia="Arial" w:hAnsi="Arial"/>
          <w:color w:val="1A1A1A"/>
          <w:sz w:val="20"/>
          <w:szCs w:val="20"/>
        </w:rPr>
        <w:t xml:space="preserve">Bank for International Settlements (2025). “OTC derivatives statistics at end-June 2025.” BIS, 8 December 2025.</w:t>
      </w:r>
    </w:p>
    <w:p>
      <w:pPr>
        <w:spacing w:after="140" w:line="264"/>
        <w:ind w:left="360" w:hanging="360"/>
      </w:pPr>
      <w:r>
        <w:rPr>
          <w:rFonts w:ascii="Arial" w:cs="Arial" w:eastAsia="Arial" w:hAnsi="Arial"/>
          <w:color w:val="1A1A1A"/>
          <w:sz w:val="20"/>
          <w:szCs w:val="20"/>
        </w:rPr>
        <w:t xml:space="preserve">2. </w:t>
      </w:r>
      <w:r>
        <w:rPr>
          <w:rFonts w:ascii="Arial" w:cs="Arial" w:eastAsia="Arial" w:hAnsi="Arial"/>
          <w:color w:val="1A1A1A"/>
          <w:sz w:val="20"/>
          <w:szCs w:val="20"/>
        </w:rPr>
        <w:t xml:space="preserve">Bank of England (2023). “An Anatomy of the 2022 Gilt Market Crisis.” Bank of England Staff Working Paper.</w:t>
      </w:r>
    </w:p>
    <w:p>
      <w:pPr>
        <w:spacing w:after="140" w:line="264"/>
        <w:ind w:left="360" w:hanging="360"/>
      </w:pPr>
      <w:r>
        <w:rPr>
          <w:rFonts w:ascii="Arial" w:cs="Arial" w:eastAsia="Arial" w:hAnsi="Arial"/>
          <w:color w:val="1A1A1A"/>
          <w:sz w:val="20"/>
          <w:szCs w:val="20"/>
        </w:rPr>
        <w:t xml:space="preserve">3. </w:t>
      </w:r>
      <w:r>
        <w:rPr>
          <w:rFonts w:ascii="Arial" w:cs="Arial" w:eastAsia="Arial" w:hAnsi="Arial"/>
          <w:color w:val="1A1A1A"/>
          <w:sz w:val="20"/>
          <w:szCs w:val="20"/>
        </w:rPr>
        <w:t xml:space="preserve">Henning, L., Jurkatis, S., Powar, M., &amp; Valentini, G. (2023). “Lifting the Lid on a Liquidity Crisis.” Bank Underground, 18 July 2023.</w:t>
      </w:r>
    </w:p>
    <w:p>
      <w:pPr>
        <w:spacing w:after="140" w:line="264"/>
        <w:ind w:left="360" w:hanging="360"/>
      </w:pPr>
      <w:r>
        <w:rPr>
          <w:rFonts w:ascii="Arial" w:cs="Arial" w:eastAsia="Arial" w:hAnsi="Arial"/>
          <w:color w:val="1A1A1A"/>
          <w:sz w:val="20"/>
          <w:szCs w:val="20"/>
        </w:rPr>
        <w:t xml:space="preserve">4. </w:t>
      </w:r>
      <w:r>
        <w:rPr>
          <w:rFonts w:ascii="Arial" w:cs="Arial" w:eastAsia="Arial" w:hAnsi="Arial"/>
          <w:color w:val="1A1A1A"/>
          <w:sz w:val="20"/>
          <w:szCs w:val="20"/>
        </w:rPr>
        <w:t xml:space="preserve">EFG International (2022). “UK Mini-Budget Sparks Gilt Market Mayhem.” 18 October 2022 — actual vs. announced Bank of England gilt purchase figures.</w:t>
      </w:r>
    </w:p>
    <w:p>
      <w:pPr>
        <w:spacing w:after="140" w:line="264"/>
        <w:ind w:left="360" w:hanging="360"/>
      </w:pPr>
      <w:r>
        <w:rPr>
          <w:rFonts w:ascii="Arial" w:cs="Arial" w:eastAsia="Arial" w:hAnsi="Arial"/>
          <w:color w:val="1A1A1A"/>
          <w:sz w:val="20"/>
          <w:szCs w:val="20"/>
        </w:rPr>
        <w:t xml:space="preserve">5. </w:t>
      </w:r>
      <w:r>
        <w:rPr>
          <w:rFonts w:ascii="Arial" w:cs="Arial" w:eastAsia="Arial" w:hAnsi="Arial"/>
          <w:color w:val="1A1A1A"/>
          <w:sz w:val="20"/>
          <w:szCs w:val="20"/>
        </w:rPr>
        <w:t xml:space="preserve">IMF (2023). “Putting Out the NBFIRE: Lessons from the UK's Liability-Driven Investment Crisis.” IMF Working Paper 2023/210.</w:t>
      </w:r>
    </w:p>
    <w:p>
      <w:pPr>
        <w:spacing w:after="140" w:line="264"/>
        <w:ind w:left="360" w:hanging="360"/>
      </w:pPr>
      <w:r>
        <w:rPr>
          <w:rFonts w:ascii="Arial" w:cs="Arial" w:eastAsia="Arial" w:hAnsi="Arial"/>
          <w:color w:val="1A1A1A"/>
          <w:sz w:val="20"/>
          <w:szCs w:val="20"/>
        </w:rPr>
        <w:t xml:space="preserve">6. </w:t>
      </w:r>
      <w:r>
        <w:rPr>
          <w:rFonts w:ascii="Arial" w:cs="Arial" w:eastAsia="Arial" w:hAnsi="Arial"/>
          <w:color w:val="1A1A1A"/>
          <w:sz w:val="20"/>
          <w:szCs w:val="20"/>
        </w:rPr>
        <w:t xml:space="preserve">Federal Reserve (2026). “Decomposing Hedge Funds' U.S. Treasury Exposures.” FEDS Notes, 22 June 2026.</w:t>
      </w:r>
    </w:p>
    <w:p>
      <w:pPr>
        <w:spacing w:after="140" w:line="264"/>
        <w:ind w:left="360" w:hanging="360"/>
      </w:pPr>
      <w:r>
        <w:rPr>
          <w:rFonts w:ascii="Arial" w:cs="Arial" w:eastAsia="Arial" w:hAnsi="Arial"/>
          <w:color w:val="1A1A1A"/>
          <w:sz w:val="20"/>
          <w:szCs w:val="20"/>
        </w:rPr>
        <w:t xml:space="preserve">7. </w:t>
      </w:r>
      <w:r>
        <w:rPr>
          <w:rFonts w:ascii="Arial" w:cs="Arial" w:eastAsia="Arial" w:hAnsi="Arial"/>
          <w:color w:val="1A1A1A"/>
          <w:sz w:val="20"/>
          <w:szCs w:val="20"/>
        </w:rPr>
        <w:t xml:space="preserve">Hedgeweek (2025). “Hedge Funds at the Heart of Treasury Market Turmoil as Basis Trades Unwind.” April 2025.</w:t>
      </w:r>
    </w:p>
    <w:p>
      <w:pPr>
        <w:spacing w:after="140" w:line="264"/>
        <w:ind w:left="360" w:hanging="360"/>
      </w:pPr>
      <w:r>
        <w:rPr>
          <w:rFonts w:ascii="Arial" w:cs="Arial" w:eastAsia="Arial" w:hAnsi="Arial"/>
          <w:color w:val="1A1A1A"/>
          <w:sz w:val="20"/>
          <w:szCs w:val="20"/>
        </w:rPr>
        <w:t xml:space="preserve">8. </w:t>
      </w:r>
      <w:r>
        <w:rPr>
          <w:rFonts w:ascii="Arial" w:cs="Arial" w:eastAsia="Arial" w:hAnsi="Arial"/>
          <w:color w:val="1A1A1A"/>
          <w:sz w:val="20"/>
          <w:szCs w:val="20"/>
        </w:rPr>
        <w:t xml:space="preserve">Perspective on Risk (2025). “Treasury Basis Trade Did Not Unwind.” 15 May 2025 — NY Fed SOMA manager characterisation of the April 2025 episode as a swap-spread unwind.</w:t>
      </w:r>
    </w:p>
    <w:p>
      <w:pPr>
        <w:spacing w:after="140" w:line="264"/>
        <w:ind w:left="360" w:hanging="360"/>
      </w:pPr>
      <w:r>
        <w:rPr>
          <w:rFonts w:ascii="Arial" w:cs="Arial" w:eastAsia="Arial" w:hAnsi="Arial"/>
          <w:color w:val="1A1A1A"/>
          <w:sz w:val="20"/>
          <w:szCs w:val="20"/>
        </w:rPr>
        <w:t xml:space="preserve">9. </w:t>
      </w:r>
      <w:r>
        <w:rPr>
          <w:rFonts w:ascii="Arial" w:cs="Arial" w:eastAsia="Arial" w:hAnsi="Arial"/>
          <w:color w:val="1A1A1A"/>
          <w:sz w:val="20"/>
          <w:szCs w:val="20"/>
        </w:rPr>
        <w:t xml:space="preserve">European Central Bank. “Measuring synthetic leverage in interest rate swaps.” ECB Occasional Paper Series.</w:t>
      </w:r>
    </w:p>
    <w:p>
      <w:pPr>
        <w:spacing w:after="140" w:line="264"/>
        <w:ind w:left="360" w:hanging="360"/>
      </w:pPr>
      <w:r>
        <w:rPr>
          <w:rFonts w:ascii="Arial" w:cs="Arial" w:eastAsia="Arial" w:hAnsi="Arial"/>
          <w:color w:val="1A1A1A"/>
          <w:sz w:val="20"/>
          <w:szCs w:val="20"/>
        </w:rPr>
        <w:t xml:space="preserve">10. </w:t>
      </w:r>
      <w:r>
        <w:rPr>
          <w:rFonts w:ascii="Arial" w:cs="Arial" w:eastAsia="Arial" w:hAnsi="Arial"/>
          <w:color w:val="1A1A1A"/>
          <w:sz w:val="20"/>
          <w:szCs w:val="20"/>
        </w:rPr>
        <w:t xml:space="preserve">Financial Stability Board. “Global Monitoring Report on Non-Bank Financial Intermediation.”</w:t>
      </w:r>
    </w:p>
    <w:p>
      <w:pPr>
        <w:spacing w:after="140" w:line="264"/>
        <w:ind w:left="360" w:hanging="360"/>
      </w:pPr>
      <w:r>
        <w:rPr>
          <w:rFonts w:ascii="Arial" w:cs="Arial" w:eastAsia="Arial" w:hAnsi="Arial"/>
          <w:color w:val="1A1A1A"/>
          <w:sz w:val="20"/>
          <w:szCs w:val="20"/>
        </w:rPr>
        <w:t xml:space="preserve">11. </w:t>
      </w:r>
      <w:r>
        <w:rPr>
          <w:rFonts w:ascii="Arial" w:cs="Arial" w:eastAsia="Arial" w:hAnsi="Arial"/>
          <w:color w:val="1A1A1A"/>
          <w:sz w:val="20"/>
          <w:szCs w:val="20"/>
        </w:rPr>
        <w:t xml:space="preserve">Basel Committee on Banking Supervision. “Basel III Endgame: Final Reforms to Counterparty Credit Risk.”</w:t>
      </w:r>
    </w:p>
    <w:p>
      <w:pPr>
        <w:spacing w:after="300"/>
      </w:pPr>
    </w:p>
    <w:p>
      <w:pPr>
        <w:spacing w:after="200" w:line="276"/>
        <w:jc w:val="both"/>
      </w:pPr>
      <w:r>
        <w:rPr>
          <w:rFonts w:ascii="Arial" w:cs="Arial" w:eastAsia="Arial" w:hAnsi="Arial"/>
          <w:b/>
          <w:bCs/>
          <w:color w:val="1A1A1A"/>
          <w:sz w:val="21"/>
          <w:szCs w:val="21"/>
        </w:rPr>
        <w:t xml:space="preserve">A note on sourcing gaps: </w:t>
      </w:r>
      <w:r>
        <w:rPr>
          <w:rFonts w:ascii="Arial" w:cs="Arial" w:eastAsia="Arial" w:hAnsi="Arial"/>
          <w:color w:val="1A1A1A"/>
          <w:sz w:val="21"/>
          <w:szCs w:val="21"/>
        </w:rPr>
        <w:t xml:space="preserve">the original working draft included a claim that five hedge funds constitute 80% of sterling interest-rate derivatives trading. NGE could not independently verify this figure at the precision stated and has flagged it in “How to Read This Paper” rather than repeat it as confirmed. The draft's self-graded audit checklist, asserting all claims had passed independent verification, has been replaced in this published version with the corrections and flags documented above.</w:t>
      </w:r>
    </w:p>
    <w:p>
      <w:pPr>
        <w:spacing w:after="200"/>
      </w:pPr>
    </w:p>
    <w:p>
      <w:pPr>
        <w:spacing w:before="300"/>
        <w:jc w:val="center"/>
      </w:pPr>
      <w:r>
        <w:rPr>
          <w:rFonts w:ascii="Arial" w:cs="Arial" w:eastAsia="Arial" w:hAnsi="Arial"/>
          <w:i/>
          <w:iCs/>
          <w:color w:val="555555"/>
          <w:sz w:val="18"/>
          <w:szCs w:val="18"/>
        </w:rPr>
        <w:t xml:space="preserve">This white paper is offered as a contribution to the debate on derivatives market regulation. The authors welcome comments, critique, and correction.</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555555"/>
        <w:sz w:val="16"/>
        <w:szCs w:val="16"/>
      </w:rPr>
      <w:t xml:space="preserve">Page </w:t>
    </w:r>
    <w:r>
      <w:rPr>
        <w:rFonts w:ascii="Arial" w:cs="Arial" w:eastAsia="Arial" w:hAnsi="Arial"/>
        <w:color w:val="555555"/>
        <w:sz w:val="16"/>
        <w:szCs w:val="16"/>
      </w:rPr>
      <w:fldChar w:fldCharType="begin"/>
      <w:instrText xml:space="preserve">PAGE</w:instrText>
      <w:fldChar w:fldCharType="separate"/>
      <w:fldChar w:fldCharType="end"/>
    </w:r>
    <w:r>
      <w:rPr>
        <w:rFonts w:ascii="Arial" w:cs="Arial" w:eastAsia="Arial" w:hAnsi="Arial"/>
        <w:color w:val="555555"/>
        <w:sz w:val="16"/>
        <w:szCs w:val="16"/>
      </w:rPr>
      <w:t xml:space="preserve"> of </w:t>
    </w:r>
    <w:r>
      <w:rPr>
        <w:rFonts w:ascii="Arial" w:cs="Arial" w:eastAsia="Arial" w:hAnsi="Arial"/>
        <w:color w:val="555555"/>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9B4A1B" w:sz="4" w:space="4"/>
      </w:pBdr>
      <w:tabs>
        <w:tab w:val="right" w:pos="9026"/>
      </w:tabs>
    </w:pPr>
    <w:r>
      <w:rPr>
        <w:rFonts w:ascii="Arial" w:cs="Arial" w:eastAsia="Arial" w:hAnsi="Arial"/>
        <w:b/>
        <w:bCs/>
        <w:color w:val="555555"/>
        <w:sz w:val="16"/>
        <w:szCs w:val="16"/>
      </w:rPr>
      <w:t xml:space="preserve">NGE WHITE PAPER</w:t>
    </w:r>
    <w:r>
      <w:rPr>
        <w:rFonts w:ascii="Arial" w:cs="Arial" w:eastAsia="Arial" w:hAnsi="Arial"/>
        <w:b/>
        <w:bCs/>
        <w:color w:val="555555"/>
        <w:sz w:val="16"/>
        <w:szCs w:val="16"/>
      </w:rPr>
      <w:t xml:space="preserve">	THE $846 TRILLION QUESTION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A1A"/>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2026-07-29T04:24:06.938Z</dcterms:created>
  <dcterms:modified xsi:type="dcterms:W3CDTF">2026-07-29T04:24:06.953Z</dcterms:modified>
</cp:coreProperties>
</file>

<file path=docProps/custom.xml><?xml version="1.0" encoding="utf-8"?>
<Properties xmlns="http://schemas.openxmlformats.org/officeDocument/2006/custom-properties" xmlns:vt="http://schemas.openxmlformats.org/officeDocument/2006/docPropsVTypes"/>
</file>