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000"/>
      </w:pPr>
      <w:r>
        <w:rPr>
          <w:rFonts w:ascii="Arial" w:cs="Arial" w:eastAsia="Arial" w:hAnsi="Arial"/>
          <w:b/>
          <w:bCs/>
          <w:caps/>
          <w:color w:val="B8860B"/>
          <w:spacing w:val="200"/>
          <w:sz w:val="22"/>
          <w:szCs w:val="22"/>
        </w:rPr>
        <w:t xml:space="preserve">NEXTGEN ECONOMICS</w:t>
      </w:r>
    </w:p>
    <w:p>
      <w:pPr>
        <w:spacing w:after="400" w:before="0"/>
      </w:pPr>
      <w:r>
        <w:rPr>
          <w:rFonts w:ascii="Arial" w:cs="Arial" w:eastAsia="Arial" w:hAnsi="Arial"/>
          <w:caps/>
          <w:color w:val="555555"/>
          <w:spacing w:val="80"/>
          <w:sz w:val="18"/>
          <w:szCs w:val="18"/>
        </w:rPr>
        <w:t xml:space="preserve">WHITE PAPER · DEFENCE, TECHNOLOGY &amp; INDUSTRIAL POLICY</w:t>
      </w:r>
    </w:p>
    <w:p>
      <w:pPr>
        <w:pBdr>
          <w:bottom w:val="single" w:color="B8860B" w:sz="8" w:space="1"/>
        </w:pBdr>
        <w:spacing w:after="240" w:before="60"/>
      </w:pPr>
      <w:r>
        <w:rPr>
          <w:sz w:val="2"/>
          <w:szCs w:val="2"/>
        </w:rPr>
        <w:t xml:space="preserve"/>
      </w:r>
    </w:p>
    <w:p>
      <w:pPr>
        <w:spacing w:after="120" w:before="400"/>
      </w:pPr>
      <w:r>
        <w:rPr>
          <w:rFonts w:ascii="Arial" w:cs="Arial" w:eastAsia="Arial" w:hAnsi="Arial"/>
          <w:b/>
          <w:bCs/>
          <w:color w:val="0A2540"/>
          <w:sz w:val="64"/>
          <w:szCs w:val="64"/>
        </w:rPr>
        <w:t xml:space="preserve">The Climate Solution Paradox</w:t>
      </w:r>
    </w:p>
    <w:p>
      <w:pPr>
        <w:spacing w:after="300" w:before="0"/>
      </w:pPr>
      <w:r>
        <w:rPr>
          <w:rFonts w:ascii="Arial" w:cs="Arial" w:eastAsia="Arial" w:hAnsi="Arial"/>
          <w:i/>
          <w:iCs/>
          <w:color w:val="B8860B"/>
          <w:sz w:val="40"/>
          <w:szCs w:val="40"/>
        </w:rPr>
        <w:t xml:space="preserve">How Arms Manufacturers Can Become Humanity’s Most Powerful Environmental Allies</w:t>
      </w:r>
    </w:p>
    <w:p>
      <w:pPr>
        <w:spacing w:after="300" w:before="0"/>
      </w:pPr>
      <w:r>
        <w:rPr>
          <w:rFonts w:ascii="Georgia" w:cs="Georgia" w:eastAsia="Georgia" w:hAnsi="Georgia"/>
          <w:i/>
          <w:iCs/>
          <w:color w:val="555555"/>
          <w:sz w:val="22"/>
          <w:szCs w:val="22"/>
        </w:rPr>
        <w:t xml:space="preserve">An assessment of dual-use technology transfer from the defence sector to civilian climate applications — examining the strategic, economic, and geopolitical conditions under which military necessity becomes a durable engine for green innovation.</w:t>
      </w:r>
    </w:p>
    <w:p>
      <w:pPr>
        <w:pBdr>
          <w:bottom w:val="single" w:color="B8860B" w:sz="8" w:space="1"/>
        </w:pBdr>
        <w:spacing w:after="240" w:before="60"/>
      </w:pPr>
      <w:r>
        <w:rPr>
          <w:sz w:val="2"/>
          <w:szCs w:val="2"/>
        </w:rPr>
        <w:t xml:space="preserve"/>
      </w:r>
    </w:p>
    <w:p>
      <w:pPr>
        <w:spacing w:after="60" w:before="300"/>
      </w:pPr>
      <w:r>
        <w:rPr>
          <w:rFonts w:ascii="Arial" w:cs="Arial" w:eastAsia="Arial" w:hAnsi="Arial"/>
          <w:b/>
          <w:bCs/>
          <w:color w:val="1A1A1A"/>
          <w:sz w:val="24"/>
          <w:szCs w:val="24"/>
        </w:rPr>
        <w:t xml:space="preserve">Pawan Bhatia</w:t>
      </w:r>
    </w:p>
    <w:p>
      <w:pPr>
        <w:spacing w:after="60" w:before="0"/>
      </w:pPr>
      <w:r>
        <w:rPr>
          <w:rFonts w:ascii="Arial" w:cs="Arial" w:eastAsia="Arial" w:hAnsi="Arial"/>
          <w:color w:val="555555"/>
          <w:sz w:val="20"/>
          <w:szCs w:val="20"/>
        </w:rPr>
        <w:t xml:space="preserve">NextGen Economics · Bangalore, India</w:t>
      </w:r>
    </w:p>
    <w:p>
      <w:pPr>
        <w:spacing w:after="400" w:before="0"/>
      </w:pPr>
      <w:r>
        <w:rPr>
          <w:rFonts w:ascii="Arial" w:cs="Arial" w:eastAsia="Arial" w:hAnsi="Arial"/>
          <w:color w:val="555555"/>
          <w:sz w:val="20"/>
          <w:szCs w:val="20"/>
        </w:rPr>
        <w:t xml:space="preserve">July 2026</w:t>
      </w:r>
    </w:p>
    <w:p>
      <w:r>
        <w:br w:type="page"/>
      </w:r>
    </w:p>
    <w:p>
      <w:pPr>
        <w:pStyle w:val="Heading1"/>
      </w:pPr>
      <w:r>
        <w:t xml:space="preserve">Abstract</w:t>
      </w:r>
    </w:p>
    <w:p>
      <w:pPr>
        <w:spacing w:after="200" w:line="320"/>
      </w:pPr>
      <w:r>
        <w:rPr>
          <w:rFonts w:ascii="Arial" w:cs="Arial" w:eastAsia="Arial" w:hAnsi="Arial"/>
          <w:sz w:val="22"/>
          <w:szCs w:val="22"/>
        </w:rPr>
        <w:t xml:space="preserve">Global military activities account for approximately 5.5% of total greenhouse gas emissions when the full carbon footprint is included — supply chains, manufacturing, and operations. At the same time, the climate technology market is projected to reach US$79 billion to over US$100 billion by 2030–2034, driven by the convergence of energy security imperatives and decarbonisation targets. These two facts, taken together, create a paradox: the defence sector is both a significant source of emissions and, increasingly, the most capable engine for the clean technologies that could eliminate them.</w:t>
      </w:r>
    </w:p>
    <w:p>
      <w:pPr>
        <w:spacing w:after="200" w:line="320"/>
      </w:pPr>
      <w:r>
        <w:rPr>
          <w:rFonts w:ascii="Arial" w:cs="Arial" w:eastAsia="Arial" w:hAnsi="Arial"/>
          <w:sz w:val="22"/>
          <w:szCs w:val="22"/>
        </w:rPr>
        <w:t xml:space="preserve">This white paper argues that the conditions for large-scale dual-use technology transfer from defence to climate applications are better than they have ever been — and that this transfer is already occurring. The argument does not rest on voluntary corporate responsibility or green branding. It rests on a harder claim: that military operational necessity is producing investment in clean energy technologies (e-fuels, sodium-ion batteries, distributed solar, autonomous microgrids) that is more durable, more capital-intensive, and more innovation-forcing than most civilian climate programmes. When Rheinmetall commits to producing 20 million litres of synthetic fuels annually, it does so because energy independence is a strategic military requirement — not because it has made an ESG commitment. That distinction matters.</w:t>
      </w:r>
    </w:p>
    <w:p>
      <w:pPr>
        <w:spacing w:after="200" w:line="320"/>
      </w:pPr>
      <w:r>
        <w:rPr>
          <w:rFonts w:ascii="Arial" w:cs="Arial" w:eastAsia="Arial" w:hAnsi="Arial"/>
          <w:sz w:val="22"/>
          <w:szCs w:val="22"/>
        </w:rPr>
        <w:t xml:space="preserve">We assess the full spectrum of intersections between defence and environmental science: carbon chemistry and e-fuels; botany and materials science (cellulose nanofibers, bio-composites); electrochemistry and the periodic table (sodium-ion vs lithium-ion batteries); semiconductor physics (CIGS photovoltaics); plant physiology and soil science (hyperspectral UAV agriculture); ecology and conservation biology (military land as refugia, artificial reefs); atmospheric chemistry (NOx, contrails, PFAS); hydrology (water purification, groundwater remediation); marine biology (sonar impacts, cetacean monitoring, artificial reefs); and Earth systems science (permafrost, ocean acidification, the planetary boundaries framework). Each section connects the scientific mechanism to the complete solution pathway. We include an explicit engagement with the greenwashing critique and the military emissions paradox, because a paper that ignores these objections is not worth reading.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THE CORE ARGUMENT</w:t>
            </w:r>
          </w:p>
          <w:p>
            <w:pPr>
              <w:spacing w:line="300"/>
            </w:pPr>
            <w:r>
              <w:rPr>
                <w:rFonts w:ascii="Arial" w:cs="Arial" w:eastAsia="Arial" w:hAnsi="Arial"/>
                <w:i/>
                <w:iCs/>
                <w:sz w:val="22"/>
                <w:szCs w:val="22"/>
              </w:rPr>
              <w:t xml:space="preserve">Defence investment in clean energy is driven by strategic necessity, not environmental commitment. When energy independence, supply chain resilience, and operational sustainability align with decarbonisation — as they increasingly do — the result is investment at a scale and speed that voluntary ESG commitments cannot match. The question is not whether the defence sector can contribute to climate solutions. The documented evidence shows it already is. The question is whether governments and policymakers will design the frameworks to maximise the civilian spillover.</w:t>
            </w:r>
          </w:p>
        </w:tc>
      </w:tr>
    </w:tbl>
    <w:p>
      <w:r>
        <w:br w:type="page"/>
      </w:r>
    </w:p>
    <w:p>
      <w:pPr>
        <w:pStyle w:val="Heading1"/>
      </w:pPr>
      <w:r>
        <w:t xml:space="preserve">1. The Strategic Imperative: Why Defence Must Lead</w:t>
      </w:r>
    </w:p>
    <w:p>
      <w:pPr>
        <w:pStyle w:val="Heading2"/>
      </w:pPr>
      <w:r>
        <w:t xml:space="preserve">1.1 The Scale of the Opportunity</w:t>
      </w:r>
    </w:p>
    <w:p>
      <w:pPr>
        <w:spacing w:after="200" w:line="320"/>
      </w:pPr>
      <w:r>
        <w:rPr>
          <w:rFonts w:ascii="Arial" w:cs="Arial" w:eastAsia="Arial" w:hAnsi="Arial"/>
          <w:sz w:val="22"/>
          <w:szCs w:val="22"/>
        </w:rPr>
        <w:t xml:space="preserve">The defence sector is uniquely positioned to accelerate climate technology deployment for three structural reasons that are independent of any individual company’s environmental commitment.</w:t>
      </w:r>
    </w:p>
    <w:p>
      <w:pPr>
        <w:spacing w:after="200" w:line="320"/>
      </w:pPr>
      <w:r>
        <w:rPr>
          <w:rFonts w:ascii="Arial" w:cs="Arial" w:eastAsia="Arial" w:hAnsi="Arial"/>
          <w:sz w:val="22"/>
          <w:szCs w:val="22"/>
        </w:rPr>
        <w:t xml:space="preserve">First, financial capacity. The EU alone is mobilising up to €800 billion in additional defence investments by 2030 (European Commission, 2024). This capital is not discretionary philanthropy; it is committed sovereign expenditure with procurement requirements that can be shaped by policy. Where defence procurement mandates include dual-use and environmental performance criteria, the investment creates guaranteed markets for clean technology at a scale that no private climate fund can replicate.</w:t>
      </w:r>
    </w:p>
    <w:p>
      <w:pPr>
        <w:spacing w:after="200" w:line="320"/>
      </w:pPr>
      <w:r>
        <w:rPr>
          <w:rFonts w:ascii="Arial" w:cs="Arial" w:eastAsia="Arial" w:hAnsi="Arial"/>
          <w:sz w:val="22"/>
          <w:szCs w:val="22"/>
        </w:rPr>
        <w:t xml:space="preserve">Second, technological sophistication. Arms manufacturers operate at the frontier of materials science, energy systems, propulsion engineering, autonomous systems, and extreme-environment resilience. These capabilities transfer directly to the most demanding climate technology applications — long-duration energy storage, synthetic fuel production, climate-monitoring satellite systems, precision agriculture. The engineering talent is already assembled. The question is whether it is directed toward dual-use applications.</w:t>
      </w:r>
    </w:p>
    <w:p>
      <w:pPr>
        <w:spacing w:after="200" w:line="320"/>
      </w:pPr>
      <w:r>
        <w:rPr>
          <w:rFonts w:ascii="Arial" w:cs="Arial" w:eastAsia="Arial" w:hAnsi="Arial"/>
          <w:sz w:val="22"/>
          <w:szCs w:val="22"/>
        </w:rPr>
        <w:t xml:space="preserve">Third, operational necessity. This is the most important structural driver, and it is the one most frequently overlooked in climate policy discussions. Militaries require reliable, independent energy in contested environments where conventional supply chains are vulnerable. That operational requirement is what is driving investment in e-fuels, advanced batteries, distributed microgrids, and renewable integration at forward operating bases. The climate benefit is a strategic byproduct — and strategic byproducts are more durable than voluntary commitments.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THE CRITICAL DISTINCTION</w:t>
            </w:r>
          </w:p>
          <w:p>
            <w:pPr>
              <w:spacing w:line="300"/>
            </w:pPr>
            <w:r>
              <w:rPr>
                <w:rFonts w:ascii="Arial" w:cs="Arial" w:eastAsia="Arial" w:hAnsi="Arial"/>
                <w:i/>
                <w:iCs/>
                <w:sz w:val="22"/>
                <w:szCs w:val="22"/>
              </w:rPr>
              <w:t xml:space="preserve">When Rheinmetall commits to producing 20 million litres of e-fuels annually through its Giga PtX initiative, it is pursuing strategic autonomy from volatile international fuel markets — not making a climate pledge. When Scandinavian Astor develops sodium-ion batteries free from lithium, cobalt, and nickel, it is eliminating dependency on Chinese mineral supply chains — not filing an ESG report. This distinction matters because strategic necessity creates investment that does not evaporate when political winds change.</w:t>
            </w:r>
          </w:p>
        </w:tc>
      </w:tr>
    </w:tbl>
    <w:p>
      <w:pPr>
        <w:pStyle w:val="Heading2"/>
      </w:pPr>
      <w:r>
        <w:t xml:space="preserve">1.2 The Energy Security–Climate Nexus</w:t>
      </w:r>
    </w:p>
    <w:p>
      <w:pPr>
        <w:spacing w:after="200" w:line="320"/>
      </w:pPr>
      <w:r>
        <w:rPr>
          <w:rFonts w:ascii="Arial" w:cs="Arial" w:eastAsia="Arial" w:hAnsi="Arial"/>
          <w:sz w:val="22"/>
          <w:szCs w:val="22"/>
        </w:rPr>
        <w:t xml:space="preserve">Germany’s Bundeswehr emits approximately 9.5 million tonnes of CO₂ equivalent annually, representing roughly 1.5% of Germany’s total national emissions (Costs of War Project, 2023). This is not an outlier: military operations worldwide are estimated to account for approximately 5.5% of global greenhouse gas emissions when the full lifecycle — manufacturing, supply chains, operations, and decommissioning — is included (SGR/CEOBS, 2022).</w:t>
      </w:r>
    </w:p>
    <w:p>
      <w:pPr>
        <w:spacing w:after="200" w:line="320"/>
      </w:pPr>
      <w:r>
        <w:rPr>
          <w:rFonts w:ascii="Arial" w:cs="Arial" w:eastAsia="Arial" w:hAnsi="Arial"/>
          <w:sz w:val="22"/>
          <w:szCs w:val="22"/>
        </w:rPr>
        <w:t xml:space="preserve">The energy security–climate nexus is therefore twofold. First, the same clean energy technologies that reduce military emissions also reduce strategic vulnerability: e-fuels eliminate fuel logistics dependencies; distributed solar and battery systems provide resilient power without extended supply chains; sodium-ion batteries remove dependency on geopolitically concentrated critical minerals. Second, the investment required to achieve military energy independence is large enough to drive down the cost curves for civilian applications — replicating the dynamic that made GPS, the internet, and lithium-ion batteries commercially viable.</w:t>
      </w:r>
    </w:p>
    <w:p>
      <w:pPr>
        <w:spacing w:after="200" w:line="320"/>
      </w:pPr>
      <w:r>
        <w:rPr>
          <w:rFonts w:ascii="Arial" w:cs="Arial" w:eastAsia="Arial" w:hAnsi="Arial"/>
          <w:sz w:val="22"/>
          <w:szCs w:val="22"/>
        </w:rPr>
        <w:t xml:space="preserve">The Bundeswehr’s active transition toward e-fuels is the clearest current example. The motivation is not environmental — it is operational resilience in an environment where conventional fuel supply chains are vulnerable to interdiction and price volatility. The climate benefit is real and measurable, but it is the byproduct of a strategic calculation, not its purpose. That is precisely why it is likely to be sustained.</w:t>
      </w:r>
    </w:p>
    <w:p>
      <w:pPr>
        <w:pStyle w:val="Heading2"/>
      </w:pPr>
      <w:r>
        <w:t xml:space="preserve">1.3 The Chemistry of Synthetic Fuels: Replicating Photosynthesis at Industrial Scale</w:t>
      </w:r>
    </w:p>
    <w:p>
      <w:pPr>
        <w:spacing w:after="200" w:line="320"/>
      </w:pPr>
      <w:r>
        <w:rPr>
          <w:rFonts w:ascii="Arial" w:cs="Arial" w:eastAsia="Arial" w:hAnsi="Arial"/>
          <w:sz w:val="22"/>
          <w:szCs w:val="22"/>
        </w:rPr>
        <w:t xml:space="preserve">To understand why e-fuels represent a genuine breakthrough rather than a marginal improvement, it is necessary to engage with the chemistry. Conventional fossil fuels are ancient photosynthesis: solar energy captured by plants hundreds of millions of years ago, converted through photosynthesis into organic carbon compounds (sugars, cellulose, lignin), and then compressed over geological time into hydrocarbons. When we burn fossil fuels, we are releasing that stored solar energy — but also releasing the carbon dioxide that plants sequestered from a different atmosphere. The net effect is a one-way transfer of carbon from the geological store to the atmosphere.</w:t>
      </w:r>
    </w:p>
    <w:p>
      <w:pPr>
        <w:spacing w:after="200" w:line="320"/>
      </w:pPr>
      <w:r>
        <w:rPr>
          <w:rFonts w:ascii="Arial" w:cs="Arial" w:eastAsia="Arial" w:hAnsi="Arial"/>
          <w:sz w:val="22"/>
          <w:szCs w:val="22"/>
        </w:rPr>
        <w:t xml:space="preserve">Synthetic e-fuels replicate the photosynthetic cycle but compress it to industrial timescales. The process is the Power-to-X (PtX) reaction chain: renewable electricity splits water into hydrogen and oxygen via electrolysis (2H₂O → 2H₂ + O₂); the hydrogen is combined with carbon dioxide captured directly from the atmosphere via the Sabatier reaction (CO₂ + 4H₂ → CH₄ + 2H₂O) or Fischer-Tropsch synthesis to produce longer-chain hydrocarbons; the resulting synthetic fuel — chemically identical to conventional aviation fuel or diesel — is combusted, releasing CO₂ back to the atmosphere. The carbon cycle is closed. The net carbon impact approaches zero, limited only by the renewable energy inputs and the efficiency of the conversion process.</w:t>
      </w:r>
    </w:p>
    <w:p>
      <w:pPr>
        <w:spacing w:after="200" w:line="320"/>
      </w:pPr>
      <w:r>
        <w:rPr>
          <w:rFonts w:ascii="Arial" w:cs="Arial" w:eastAsia="Arial" w:hAnsi="Arial"/>
          <w:sz w:val="22"/>
          <w:szCs w:val="22"/>
        </w:rPr>
        <w:t xml:space="preserve">The thermodynamics are instructive. Hydrogen has an energy density of approximately 120 MJ/kg by mass — nearly three times that of conventional jet fuel (43 MJ/kg). However, hydrogen’s volumetric energy density is extremely low (8.5 MJ/L as liquid hydrogen vs 34.2 MJ/L for jet fuel), which is why liquid hydrogen storage requires cryogenic containment at -253°C and creates significant logistical challenges for military applications. Synthetic hydrocarbon fuels solve this problem by converting the energy-dense hydrogen into chemically stable, energy-dense liquids at ambient conditions. This is precisely why the Bundeswehr and Rheinmetall are pursuing e-fuels rather than hydrogen directly: the energy chemistry must fit the operational requirement, not the other way around.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THE CARBON CHEMISTRY IN ONE SENTENCE</w:t>
            </w:r>
          </w:p>
          <w:p>
            <w:pPr>
              <w:spacing w:line="300"/>
            </w:pPr>
            <w:r>
              <w:rPr>
                <w:rFonts w:ascii="Arial" w:cs="Arial" w:eastAsia="Arial" w:hAnsi="Arial"/>
                <w:i/>
                <w:iCs/>
                <w:sz w:val="22"/>
                <w:szCs w:val="22"/>
              </w:rPr>
              <w:t xml:space="preserve">E-fuels are industrialised photosynthesis: renewable electricity splits water into hydrogen, which combines with atmospheric CO₂ to produce hydrocarbon fuels that release the same CO₂ when burned — closing the carbon cycle that fossil fuels break open. The military’s adoption of this chemistry for operational independence is the same choice that the atmosphere needs every aircraft engine and ship propulsion system to make.</w:t>
            </w:r>
          </w:p>
        </w:tc>
      </w:tr>
    </w:tbl>
    <w:p>
      <w:pPr>
        <w:pStyle w:val="Heading1"/>
      </w:pPr>
      <w:r>
        <w:t xml:space="preserve">2. Dual-Use Technologies: Documented Pathways</w:t>
      </w:r>
    </w:p>
    <w:p>
      <w:pPr>
        <w:pStyle w:val="Heading2"/>
      </w:pPr>
      <w:r>
        <w:t xml:space="preserve">2.1 Proven Models of Technology Transfer</w:t>
      </w:r>
    </w:p>
    <w:p>
      <w:pPr>
        <w:spacing w:after="200" w:line="320"/>
      </w:pPr>
      <w:r>
        <w:rPr>
          <w:rFonts w:ascii="Arial" w:cs="Arial" w:eastAsia="Arial" w:hAnsi="Arial"/>
          <w:sz w:val="22"/>
          <w:szCs w:val="22"/>
        </w:rPr>
        <w:t xml:space="preserve">The concept of military-to-civilian technology transfer is not speculative. The internet, GPS navigation, lithium-ion batteries, microwave ovens, and the touchscreen all have defence R&amp;D origins. What is new is the directionality: historically, defence developed technology that later found civilian application. In the climate domain, the transfer is increasingly bidirectional, with civilian clean energy development being adopted and accelerated by defence procurement.</w:t>
      </w:r>
    </w:p>
    <w:p>
      <w:pPr>
        <w:spacing w:after="200" w:line="320"/>
      </w:pPr>
      <w:r>
        <w:rPr>
          <w:rFonts w:ascii="Arial" w:cs="Arial" w:eastAsia="Arial" w:hAnsi="Arial"/>
          <w:sz w:val="22"/>
          <w:szCs w:val="22"/>
        </w:rPr>
        <w:t xml:space="preserve">Four documented cases establish the baseline:</w:t>
      </w:r>
    </w:p>
    <w:p>
      <w:pPr>
        <w:spacing w:after="200" w:line="320"/>
      </w:pPr>
      <w:r>
        <w:rPr>
          <w:rFonts w:ascii="Arial" w:cs="Arial" w:eastAsia="Arial" w:hAnsi="Arial"/>
          <w:b/>
          <w:bCs/>
          <w:sz w:val="22"/>
          <w:szCs w:val="22"/>
        </w:rPr>
        <w:t xml:space="preserve">BAE Systems — Hybrid Propulsion</w:t>
      </w:r>
    </w:p>
    <w:p>
      <w:pPr>
        <w:spacing w:after="200" w:line="320"/>
      </w:pPr>
      <w:r>
        <w:rPr>
          <w:rFonts w:ascii="Arial" w:cs="Arial" w:eastAsia="Arial" w:hAnsi="Arial"/>
          <w:sz w:val="22"/>
          <w:szCs w:val="22"/>
        </w:rPr>
        <w:t xml:space="preserve">BAE Systems manufactures hybrid propulsion systems for New York City Transit’s bus fleet from the same facility producing components for the F-35 fighter jet and Howitzer armored vehicles. This is not a corporate sustainability initiative; it is a revenue diversification strategy that happens to produce dual-use technology at scale. Lockheed Martin developed regenerative braking technology for hybrid buses before Toyota commercialised it in the Prius — an early demonstration that defence engineering can lead civilian clean transport adoption.</w:t>
      </w:r>
    </w:p>
    <w:p>
      <w:pPr>
        <w:spacing w:after="200" w:line="320"/>
      </w:pPr>
      <w:r>
        <w:rPr>
          <w:rFonts w:ascii="Arial" w:cs="Arial" w:eastAsia="Arial" w:hAnsi="Arial"/>
          <w:b/>
          <w:bCs/>
          <w:sz w:val="22"/>
          <w:szCs w:val="22"/>
        </w:rPr>
        <w:t xml:space="preserve">KONGSBERG — Sustainable Materials</w:t>
      </w:r>
    </w:p>
    <w:p>
      <w:pPr>
        <w:spacing w:after="200" w:line="320"/>
      </w:pPr>
      <w:r>
        <w:rPr>
          <w:rFonts w:ascii="Arial" w:cs="Arial" w:eastAsia="Arial" w:hAnsi="Arial"/>
          <w:sz w:val="22"/>
          <w:szCs w:val="22"/>
        </w:rPr>
        <w:t xml:space="preserve">KONGSBERG, the Norwegian defence and maritime technology group, is conducting active pilot projects on bio-composites and cellulose-based nanofibers for defence products. These materials — developed to meet military performance specifications for weight, strength, and environmental resilience — are directly transferable to civilian sustainable manufacturing applications. The circular economy principles embedded in KONGSBERG’s defence material research represent an accelerated development pathway for civilian applications.</w:t>
      </w:r>
    </w:p>
    <w:p>
      <w:pPr>
        <w:spacing w:after="200" w:line="320"/>
      </w:pPr>
      <w:r>
        <w:rPr>
          <w:rFonts w:ascii="Arial" w:cs="Arial" w:eastAsia="Arial" w:hAnsi="Arial"/>
          <w:b/>
          <w:bCs/>
          <w:sz w:val="22"/>
          <w:szCs w:val="22"/>
        </w:rPr>
        <w:t xml:space="preserve">Muon Space — Satellite Dual-Use</w:t>
      </w:r>
    </w:p>
    <w:p>
      <w:pPr>
        <w:spacing w:after="200" w:line="320"/>
      </w:pPr>
      <w:r>
        <w:rPr>
          <w:rFonts w:ascii="Arial" w:cs="Arial" w:eastAsia="Arial" w:hAnsi="Arial"/>
          <w:sz w:val="22"/>
          <w:szCs w:val="22"/>
        </w:rPr>
        <w:t xml:space="preserve">Muon Space, a climate-monitoring satellite startup, secured a US$2.9 million US Space Force contract to adapt its wildfire-detection constellation for military weather imaging. The result is dual-use satellite infrastructure that serves both environmental monitoring — detecting wildfires, tracking deforestation, measuring methane emissions — and defence applications. Defence procurement de-risked and funded the technology; civilian climate applications benefit from the infrastructure investment.</w:t>
      </w:r>
    </w:p>
    <w:p>
      <w:pPr>
        <w:spacing w:after="200" w:line="320"/>
      </w:pPr>
      <w:r>
        <w:rPr>
          <w:rFonts w:ascii="Arial" w:cs="Arial" w:eastAsia="Arial" w:hAnsi="Arial"/>
          <w:b/>
          <w:bCs/>
          <w:sz w:val="22"/>
          <w:szCs w:val="22"/>
        </w:rPr>
        <w:t xml:space="preserve">Saab + Midsummer — Solar Manufacturing</w:t>
      </w:r>
    </w:p>
    <w:p>
      <w:pPr>
        <w:spacing w:after="200" w:line="320"/>
      </w:pPr>
      <w:r>
        <w:rPr>
          <w:rFonts w:ascii="Arial" w:cs="Arial" w:eastAsia="Arial" w:hAnsi="Arial"/>
          <w:sz w:val="22"/>
          <w:szCs w:val="22"/>
        </w:rPr>
        <w:t xml:space="preserve">Swedish aerospace and defence company Saab is collaborating with solar manufacturer Midsummer to build a CIGS thin-film solar panel factory in Colombia, linked to Gripen fighter jet contracts. The facility has an initial 15 MW capacity with options for expansion to 100–200 MW. This is defence procurement directly funding renewable energy manufacturing capacity in an emerging market — a model that did not exist five years ago and that no voluntary ESG programme has replicated at comparable scale.</w:t>
      </w:r>
    </w:p>
    <w:p>
      <w:pPr>
        <w:pStyle w:val="Heading2"/>
      </w:pPr>
      <w:r>
        <w:t xml:space="preserve">2.2 Emerging Technology Vectors</w:t>
      </w:r>
    </w:p>
    <w:p>
      <w:pPr>
        <w:spacing w:after="200" w:line="320"/>
      </w:pPr>
      <w:r>
        <w:rPr>
          <w:rFonts w:ascii="Arial" w:cs="Arial" w:eastAsia="Arial" w:hAnsi="Arial"/>
          <w:b/>
          <w:bCs/>
          <w:sz w:val="22"/>
          <w:szCs w:val="22"/>
        </w:rPr>
        <w:t xml:space="preserve">Advanced Energy Storage: Sodium-Ion Batteries</w:t>
      </w:r>
    </w:p>
    <w:p>
      <w:pPr>
        <w:spacing w:after="200" w:line="320"/>
      </w:pPr>
      <w:r>
        <w:rPr>
          <w:rFonts w:ascii="Arial" w:cs="Arial" w:eastAsia="Arial" w:hAnsi="Arial"/>
          <w:sz w:val="22"/>
          <w:szCs w:val="22"/>
        </w:rPr>
        <w:t xml:space="preserve">Swedish defence group Scandinavian Astor, through its subsidiary Oscilion, is partnering with battery manufacturer Altris to develop sodium-ion battery modules for military applications. The specification is significant: sodium-ion chemistry eliminates dependency on lithium, cobalt, and nickel — the three critical minerals currently dominated by Chinese supply chains. The batteries are manufactured with a European supply chain, addressing both strategic autonomy and climate goals simultaneously. As Scandinavian Astor’s CEO has noted, manufacturing batteries “in Sweden, with a European supply chain, is an important strategic reinforcement for both our customers and Europe’s overall supply capacity.” The technology is directly transferable to civilian grid storage.</w:t>
      </w:r>
    </w:p>
    <w:p>
      <w:pPr>
        <w:spacing w:after="200" w:line="320"/>
      </w:pPr>
      <w:r>
        <w:rPr>
          <w:rFonts w:ascii="Arial" w:cs="Arial" w:eastAsia="Arial" w:hAnsi="Arial"/>
          <w:b/>
          <w:bCs/>
          <w:sz w:val="22"/>
          <w:szCs w:val="22"/>
        </w:rPr>
        <w:t xml:space="preserve">Synthetic Fuels: The E-Fuel Imperative</w:t>
      </w:r>
    </w:p>
    <w:p>
      <w:pPr>
        <w:spacing w:after="200" w:line="320"/>
      </w:pPr>
      <w:r>
        <w:rPr>
          <w:rFonts w:ascii="Arial" w:cs="Arial" w:eastAsia="Arial" w:hAnsi="Arial"/>
          <w:sz w:val="22"/>
          <w:szCs w:val="22"/>
        </w:rPr>
        <w:t xml:space="preserve">Rheinmetall’s Giga PtX initiative represents the most ambitious commitment to synthetic fuel production by a defence prime. The target of 20 million litres of e-fuels annually within five years is driven by the Bundeswehr’s need for energy-independent propulsion — synthetic fuels that can be produced domestically from renewable electricity, eliminating dependence on international fossil fuel markets. The scale of the investment, and the reliability of the military procurement contract underpinning it, creates the cost-reduction trajectory necessary to make e-fuels commercially viable for civilian aviation and shipping.</w:t>
      </w:r>
    </w:p>
    <w:p>
      <w:pPr>
        <w:spacing w:after="200" w:line="320"/>
      </w:pPr>
      <w:r>
        <w:rPr>
          <w:rFonts w:ascii="Arial" w:cs="Arial" w:eastAsia="Arial" w:hAnsi="Arial"/>
          <w:b/>
          <w:bCs/>
          <w:sz w:val="22"/>
          <w:szCs w:val="22"/>
        </w:rPr>
        <w:t xml:space="preserve">Integrated Renewable Power Systems</w:t>
      </w:r>
    </w:p>
    <w:p>
      <w:pPr>
        <w:spacing w:after="200" w:line="320"/>
      </w:pPr>
      <w:r>
        <w:rPr>
          <w:rFonts w:ascii="Arial" w:cs="Arial" w:eastAsia="Arial" w:hAnsi="Arial"/>
          <w:sz w:val="22"/>
          <w:szCs w:val="22"/>
        </w:rPr>
        <w:t xml:space="preserve">Vincorion is developing next-generation power generators for Patriot and Iris-T air defence systems that integrate photovoltaic arrays and battery storage, reducing fuel consumption and emissions while increasing operational flexibility and resilience. These hybrid systems — developed to military specifications for reliability, portability, and performance in extreme conditions — are directly applicable to civilian distributed energy systems, particularly in off-grid and climate-stressed environments.</w:t>
      </w:r>
    </w:p>
    <w:p>
      <w:pPr>
        <w:spacing w:after="200" w:line="320"/>
      </w:pPr>
      <w:r>
        <w:rPr>
          <w:rFonts w:ascii="Arial" w:cs="Arial" w:eastAsia="Arial" w:hAnsi="Arial"/>
          <w:b/>
          <w:bCs/>
          <w:sz w:val="22"/>
          <w:szCs w:val="22"/>
        </w:rPr>
        <w:t xml:space="preserve">Precision Agriculture via Defence UAV Technology</w:t>
      </w:r>
    </w:p>
    <w:p>
      <w:pPr>
        <w:spacing w:after="200" w:line="320"/>
      </w:pPr>
      <w:r>
        <w:rPr>
          <w:rFonts w:ascii="Arial" w:cs="Arial" w:eastAsia="Arial" w:hAnsi="Arial"/>
          <w:sz w:val="22"/>
          <w:szCs w:val="22"/>
        </w:rPr>
        <w:t xml:space="preserve">Türkiye’s defence sector has adapted UAVs, sensor networks, and AI systems — originally developed for military surveillance and targeting — for precision agriculture applications. The dual-use platform improves crop resilience to climate change while reducing input costs, water usage, and chemical dependency. This is military-grade sensing and autonomous systems technology being applied to food security — one of the most urgent climate adaptation challenges.</w:t>
      </w:r>
    </w:p>
    <w:p>
      <w:pPr>
        <w:pStyle w:val="Heading2"/>
      </w:pPr>
      <w:r>
        <w:t xml:space="preserve">2.3 The Botany of Defence Materials: Cellulose, Nanofibers, and Bio-Composites</w:t>
      </w:r>
    </w:p>
    <w:p>
      <w:pPr>
        <w:spacing w:after="200" w:line="320"/>
      </w:pPr>
      <w:r>
        <w:rPr>
          <w:rFonts w:ascii="Arial" w:cs="Arial" w:eastAsia="Arial" w:hAnsi="Arial"/>
          <w:sz w:val="22"/>
          <w:szCs w:val="22"/>
        </w:rPr>
        <w:t xml:space="preserve">KONGSBERG’s research into cellulose-based nanofibers and bio-composites for defence applications takes us into one of the most remarkable materials in the natural world. Cellulose — the structural polymer that gives plant cell walls their extraordinary tensile strength — is the most abundant organic compound on Earth. A single tree trunk contains billions of cellulose microfibrils, each composed of chains of glucose molecules (C₆H₁₂O₆) linked by β-1,4-glycosidic bonds and organised into crystalline structures through hydrogen bonding. This molecular architecture gives cellulose a theoretical tensile strength of approximately 7.5 GPa — comparable to steel on a weight-adjusted basis.</w:t>
      </w:r>
    </w:p>
    <w:p>
      <w:pPr>
        <w:spacing w:after="200" w:line="320"/>
      </w:pPr>
      <w:r>
        <w:rPr>
          <w:rFonts w:ascii="Arial" w:cs="Arial" w:eastAsia="Arial" w:hAnsi="Arial"/>
          <w:sz w:val="22"/>
          <w:szCs w:val="22"/>
        </w:rPr>
        <w:t xml:space="preserve">Cellulose nanofibers (CNF), produced by mechanically or chemically breaking down wood pulp to expose individual cellulose fibrils at the nanoscale (diameter 5–20nm, length several micrometres), retain this exceptional strength-to-weight ratio while offering properties that synthetic polymers cannot match: biodegradability, renewable sourcing, low thermal expansion, and electromagnetic properties that can be tuned through surface chemical modification. For defence applications — where weight reduction directly translates to fuel savings, range extension, and payload capacity — CNF-reinforced composites offer structural performance approaching carbon fibre at a fraction of the environmental cost.</w:t>
      </w:r>
    </w:p>
    <w:p>
      <w:pPr>
        <w:spacing w:after="200" w:line="320"/>
      </w:pPr>
      <w:r>
        <w:rPr>
          <w:rFonts w:ascii="Arial" w:cs="Arial" w:eastAsia="Arial" w:hAnsi="Arial"/>
          <w:sz w:val="22"/>
          <w:szCs w:val="22"/>
        </w:rPr>
        <w:t xml:space="preserve">The ecological dimension extends further. The spruce and birch forests of Scandinavia, which supply the raw material for KONGSBERG’s CNF research, sequester approximately 2–4 tonnes of CO₂ per hectare per year. Sustainable forestry management that harvests for CNF production while maintaining canopy cover and biodiversity actually increases the long-term carbon sequestration capacity of managed forests compared to unmanaged stands, because younger, actively growing trees sequester carbon faster than mature old-growth. The supply chain for the most advanced defence composite materials is therefore simultaneously a managed carbon sink.</w:t>
      </w:r>
    </w:p>
    <w:p>
      <w:pPr>
        <w:spacing w:after="200" w:line="320"/>
      </w:pPr>
      <w:r>
        <w:rPr>
          <w:rFonts w:ascii="Arial" w:cs="Arial" w:eastAsia="Arial" w:hAnsi="Arial"/>
          <w:sz w:val="22"/>
          <w:szCs w:val="22"/>
        </w:rPr>
        <w:t xml:space="preserve">Bio-composites extend this logic further. When plant-derived fibres (flax, hemp, bamboo, jute — each with distinct fibre architecture, lignin content, and mechanical properties) are combined with bio-based epoxy resins derived from plant oils or sugar fermentation, the resulting composite material carries its carbon from the atmosphere into a structural application that may last decades. Compare this to carbon fibre composites, which require energy-intensive production from petroleum-derived polyacrylonitrile precursors and are almost impossible to recycle at end of life. The botany and chemistry of bio-composites represent a materials science revolution hiding in plain sight inside defence R&amp;D programmes.</w:t>
      </w:r>
    </w:p>
    <w:p>
      <w:pPr>
        <w:pStyle w:val="Heading2"/>
      </w:pPr>
      <w:r>
        <w:t xml:space="preserve">2.4 The Physics of the Energy Transition: Batteries, Photovoltaics, and the Periodic Table</w:t>
      </w:r>
    </w:p>
    <w:p>
      <w:pPr>
        <w:spacing w:after="200" w:line="320"/>
      </w:pPr>
      <w:r>
        <w:rPr>
          <w:rFonts w:ascii="Arial" w:cs="Arial" w:eastAsia="Arial" w:hAnsi="Arial"/>
          <w:sz w:val="22"/>
          <w:szCs w:val="22"/>
        </w:rPr>
        <w:t xml:space="preserve">The sodium-ion battery development being pursued by Scandinavian Astor and Altris is not merely a supply chain story — it is a story about the periodic table and the physical chemistry of ion transport. Understanding why this matters requires engaging with the electrochemistry.</w:t>
      </w:r>
    </w:p>
    <w:p>
      <w:pPr>
        <w:spacing w:after="200" w:line="320"/>
      </w:pPr>
      <w:r>
        <w:rPr>
          <w:rFonts w:ascii="Arial" w:cs="Arial" w:eastAsia="Arial" w:hAnsi="Arial"/>
          <w:sz w:val="22"/>
          <w:szCs w:val="22"/>
        </w:rPr>
        <w:t xml:space="preserve">Lithium-ion batteries — the dominant energy storage technology — store energy by moving lithium ions (Li⁺, atomic radius 76pm, atomic weight 6.94 g/mol) between a graphite anode and a lithium metal oxide cathode (typically lithium cobalt oxide, lithium iron phosphate, or nickel manganese cobalt oxide). Lithium’s small ionic radius allows it to intercalate rapidly into electrode crystal structures, enabling fast charge and discharge. But lithium occurs at an average crustal abundance of only 20 parts per million, is geographically concentrated in the Lithium Triangle (Chile, Argentina, Bolivia), and its extraction involves significant water consumption in some of the world’s driest ecosystems.</w:t>
      </w:r>
    </w:p>
    <w:p>
      <w:pPr>
        <w:spacing w:after="200" w:line="320"/>
      </w:pPr>
      <w:r>
        <w:rPr>
          <w:rFonts w:ascii="Arial" w:cs="Arial" w:eastAsia="Arial" w:hAnsi="Arial"/>
          <w:sz w:val="22"/>
          <w:szCs w:val="22"/>
        </w:rPr>
        <w:t xml:space="preserve">Sodium ions (Na⁺, atomic radius 102pm, atomic weight 22.99 g/mol) are 31% larger than lithium ions, which creates different intercalation dynamics in electrode materials — historically limiting energy density. However, sodium occurs at 23,600 parts per million in the Earth’s crust (1,180 times more abundant than lithium), is geographically universal, and can be extracted from seawater. Altris’s breakthrough is the development of Prussian Blue Analogue (PBA) cathode materials — iron-based open-framework structures whose crystal lattice can accommodate the larger sodium ion without the structural degradation that plagued earlier sodium-ion designs. The result is a battery chemistry that sacrifices approximately 20–30% of lithium-ion’s energy density but eliminates geopolitical supply chain vulnerability entirely.</w:t>
      </w:r>
    </w:p>
    <w:p>
      <w:pPr>
        <w:spacing w:after="200" w:line="320"/>
      </w:pPr>
      <w:r>
        <w:rPr>
          <w:rFonts w:ascii="Arial" w:cs="Arial" w:eastAsia="Arial" w:hAnsi="Arial"/>
          <w:sz w:val="22"/>
          <w:szCs w:val="22"/>
        </w:rPr>
        <w:t xml:space="preserve">The physics of CIGS thin-film photovoltaics — the technology at the heart of Saab and Midsummer’s Colombian solar factory — involves a different set of physical principles. CIGS (copper indium gallium selenide, CuIn₁₋ₓGaₓSe₂) is a semiconductor with a direct bandgap that can be tuned between 1.0 and 1.7 electron volts by adjusting the gallium-to-indium ratio. This tunability is significant: the optimal solar cell bandgap for converting the AM1.5 solar spectrum (the standard terrestrial solar radiation distribution) is approximately 1.34 eV, and CIGS can be manufactured to match this precisely. The result is thin-film modules that can achieve 23.4% laboratory efficiency (NREL certified record) while being deposited as thin films just 2–3 micrometres thick on flexible substrates — enabling integration onto curved surfaces, lightweight deployment, and the kind of portable, field-deployable solar infrastructure that forward operating bases require.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THE PERIODIC TABLE AS CLIMATE POLICY</w:t>
            </w:r>
          </w:p>
          <w:p>
            <w:pPr>
              <w:spacing w:line="300"/>
            </w:pPr>
            <w:r>
              <w:rPr>
                <w:rFonts w:ascii="Arial" w:cs="Arial" w:eastAsia="Arial" w:hAnsi="Arial"/>
                <w:i/>
                <w:iCs/>
                <w:sz w:val="22"/>
                <w:szCs w:val="22"/>
              </w:rPr>
              <w:t xml:space="preserve">The transition from lithium-ion to sodium-ion batteries is a story about moving from element 3 (lithium, crustal abundance 20 ppm, geographically concentrated) to element 11 (sodium, crustal abundance 23,600 ppm, universally distributed). The transition from silicon to CIGS photovoltaics is a story about tuning semiconductor bandgaps to match the solar spectrum. The defence sector’s investment in both transitions is being driven by supply chain security — but the consequence is clean energy technology that is more durable, more accessible, and more globally deployable than its predecessors.</w:t>
            </w:r>
          </w:p>
        </w:tc>
      </w:tr>
    </w:tbl>
    <w:p>
      <w:pPr>
        <w:pStyle w:val="Heading2"/>
      </w:pPr>
      <w:r>
        <w:t xml:space="preserve">2.5 Military Land: The World’s Largest Accidental Conservation Estate</w:t>
      </w:r>
    </w:p>
    <w:p>
      <w:pPr>
        <w:spacing w:after="200" w:line="320"/>
      </w:pPr>
      <w:r>
        <w:rPr>
          <w:rFonts w:ascii="Arial" w:cs="Arial" w:eastAsia="Arial" w:hAnsi="Arial"/>
          <w:sz w:val="22"/>
          <w:szCs w:val="22"/>
        </w:rPr>
        <w:t xml:space="preserve">One of the most overlooked dimensions of the defence–environment nexus is land. The United States Department of Defense manages approximately 11 million acres (4.5 million hectares) of land across 800 domestic installations — an area larger than Switzerland. The UK Ministry of Defence manages approximately 227,000 hectares. The Bundeswehr controls significant tracts of German heathland and forest. Collectively, global defence establishments control land masses that rival the world’s largest national park systems.</w:t>
      </w:r>
    </w:p>
    <w:p>
      <w:pPr>
        <w:spacing w:after="200" w:line="320"/>
      </w:pPr>
      <w:r>
        <w:rPr>
          <w:rFonts w:ascii="Arial" w:cs="Arial" w:eastAsia="Arial" w:hAnsi="Arial"/>
          <w:sz w:val="22"/>
          <w:szCs w:val="22"/>
        </w:rPr>
        <w:t xml:space="preserve">This land has been, in many respects, accidentally preserved. Military exclusion zones, live-fire ranges, and buffer areas have been kept free of agriculture, urban development, and industrial use for decades — in some cases, for over a century. The ecological consequence is striking. The Chesapeake Bay watershed includes military training areas that are among the most biodiverse regions on the eastern seaboard. The Nevada Test Site, despite its nuclear history, supports populations of desert tortoise and pronghorn that have been largely extirpated from surrounding developed land. The Luneburg Heath in Germany — maintained as a tank training ground — is one of Europe’s most important heathland ecosystems, supporting breeding populations of Eurasian stone-curlew, nightjar, and woodlark.</w:t>
      </w:r>
    </w:p>
    <w:p>
      <w:pPr>
        <w:spacing w:after="200" w:line="320"/>
      </w:pPr>
      <w:r>
        <w:rPr>
          <w:rFonts w:ascii="Arial" w:cs="Arial" w:eastAsia="Arial" w:hAnsi="Arial"/>
          <w:sz w:val="22"/>
          <w:szCs w:val="22"/>
        </w:rPr>
        <w:t xml:space="preserve">The ecological science behind this accidental preservation involves the concept of ecological refugia: areas where populations of species survive landscape-scale disturbance and from which recolonisation of surrounding areas can occur as conditions improve. Military exclusion zones function as refugia at a scale that most formally designated nature reserves cannot match, because their perimeter security incidentally prevents the human access that drives most biodiversity loss. A tank training range that prohibits public entry also prohibits off-road vehicles, illegal dumping, invasive species introduction, and the edge effects from residential development that fragment habitat across most protected areas.</w:t>
      </w:r>
    </w:p>
    <w:p>
      <w:pPr>
        <w:spacing w:after="200" w:line="320"/>
      </w:pPr>
      <w:r>
        <w:rPr>
          <w:rFonts w:ascii="Arial" w:cs="Arial" w:eastAsia="Arial" w:hAnsi="Arial"/>
          <w:sz w:val="22"/>
          <w:szCs w:val="22"/>
        </w:rPr>
        <w:t xml:space="preserve">The soil science of military grasslands and heathlands is particularly significant for climate. Semi-natural grasslands — grazed or disturbed at low intensity, never ploughed, never fertilised with synthetic nitrogen — accumulate soil organic carbon at rates of 0.1–0.5 tonnes of carbon per hectare per year. More importantly, they store carbon in stable forms (humus compounds complexed with clay minerals) that remain in the soil for centuries rather than decades. The IPCC’s Sixth Assessment Report identifies soil carbon restoration in permanent grasslands as one of the most cost-effective and durable natural climate solutions available — and military grasslands represent an untapped reservoir of this potential.</w:t>
      </w:r>
    </w:p>
    <w:p>
      <w:pPr>
        <w:spacing w:after="200" w:line="320"/>
      </w:pPr>
      <w:r>
        <w:rPr>
          <w:rFonts w:ascii="Arial" w:cs="Arial" w:eastAsia="Arial" w:hAnsi="Arial"/>
          <w:sz w:val="22"/>
          <w:szCs w:val="22"/>
        </w:rPr>
        <w:t xml:space="preserve">The complete pathway here is elegant in its simplicity: defence land managed for biodiversity and soil carbon accumulation requires no new technology, no investment in infrastructure, and no change in military mission. It requires only the recognition that the same exclusion that makes a training area militarily useful also makes it ecologically valuable — and the establishment of management protocols that enhance rather than inadvertently undermine that value. Germany’s collaboration between the Bundeswehr and Naturschutz organisations at the Grafenwöhr training area demonstrates this model: military training continues; ecological survey and management of non-training zones is contracted to conservation organisations; the result is 23,000 hectares of one of Bavaria’s most important wildlife corridors.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THE REWILDING EQUATION</w:t>
            </w:r>
          </w:p>
          <w:p>
            <w:pPr>
              <w:spacing w:line="300"/>
            </w:pPr>
            <w:r>
              <w:rPr>
                <w:rFonts w:ascii="Arial" w:cs="Arial" w:eastAsia="Arial" w:hAnsi="Arial"/>
                <w:i/>
                <w:iCs/>
                <w:sz w:val="22"/>
                <w:szCs w:val="22"/>
              </w:rPr>
              <w:t xml:space="preserve">11 million acres of US DoD land + 227,000 hectares of UK MoD land + equivalent holdings across 30 NATO members = a conservation estate larger than most of the world’s national park systems, already secured, already maintained, requiring no land purchase. The ecological question is not whether this land has biodiversity value — it demonstrably does. The policy question is whether defence land management protocols are designed to realise that value while maintaining operational requirements. The answer, from the Grafenwöhr example, is yes.</w:t>
            </w:r>
          </w:p>
        </w:tc>
      </w:tr>
    </w:tbl>
    <w:p>
      <w:pPr>
        <w:pStyle w:val="Heading2"/>
      </w:pPr>
      <w:r>
        <w:t xml:space="preserve">2.6 Dual-Use Energy Startups: The Innovation Layer</w:t>
      </w:r>
    </w:p>
    <w:p>
      <w:pPr>
        <w:spacing w:after="200" w:line="320"/>
      </w:pPr>
      <w:r>
        <w:rPr>
          <w:rFonts w:ascii="Arial" w:cs="Arial" w:eastAsia="Arial" w:hAnsi="Arial"/>
          <w:sz w:val="22"/>
          <w:szCs w:val="22"/>
        </w:rPr>
        <w:t xml:space="preserve">Beyond established prime contractors, a growing ecosystem of startups is developing dual-use energy technologies specifically designed to serve both military and civilian markets. These companies often secure early defence contracts — through SBIR/STTR programmes in the US or equivalent schemes in Europe — that de-risk technologies for civilian markets while simultaneously addressing military requirements for resilience and efficiency.</w:t>
      </w:r>
    </w:p>
    <w:p>
      <w:pPr>
        <w:spacing w:after="200" w:line="320"/>
      </w:pPr>
      <w:r>
        <w:rPr>
          <w:rFonts w:ascii="Arial" w:cs="Arial" w:eastAsia="Arial" w:hAnsi="Arial"/>
          <w:sz w:val="22"/>
          <w:szCs w:val="22"/>
        </w:rPr>
        <w:t xml:space="preserve">The pattern is consistent: defence procurement provides the non-dilutive funding and high-reliability validation that allows startups to develop technologies to commercial readiness. The civilian market then provides scale. This “defence-first, civilian-scale” pathway is particularly visible in:</w:t>
      </w:r>
    </w:p>
    <w:p>
      <w:pPr>
        <w:pStyle w:val="ListParagraph"/>
        <w:numPr>
          <w:ilvl w:val="0"/>
          <w:numId w:val="2"/>
        </w:numPr>
        <w:spacing w:after="120" w:line="300"/>
      </w:pPr>
      <w:r>
        <w:rPr>
          <w:rFonts w:ascii="Arial" w:cs="Arial" w:eastAsia="Arial" w:hAnsi="Arial"/>
          <w:sz w:val="22"/>
          <w:szCs w:val="22"/>
        </w:rPr>
        <w:t xml:space="preserve">Advanced energy storage: Startups developing solid-state and sodium-ion batteries targeting military specifications for extreme operating conditions — high temperature tolerance, vibration resistance, rapid charge/discharge — produce performance characteristics that exceed civilian grid storage requirements. Military validation provides the credibility that accelerates civilian adoption.</w:t>
      </w:r>
    </w:p>
    <w:p>
      <w:pPr>
        <w:pStyle w:val="ListParagraph"/>
        <w:numPr>
          <w:ilvl w:val="0"/>
          <w:numId w:val="2"/>
        </w:numPr>
        <w:spacing w:after="120" w:line="300"/>
      </w:pPr>
      <w:r>
        <w:rPr>
          <w:rFonts w:ascii="Arial" w:cs="Arial" w:eastAsia="Arial" w:hAnsi="Arial"/>
          <w:sz w:val="22"/>
          <w:szCs w:val="22"/>
        </w:rPr>
        <w:t xml:space="preserve">Hydrogen and e-fuel systems: Firms developing modular electrolysers for forward operating bases — enabling in-theatre green hydrogen production without extended fuel logistics — are simultaneously building the distributed hydrogen production infrastructure that civilian hard-to-abate sectors require.</w:t>
      </w:r>
    </w:p>
    <w:p>
      <w:pPr>
        <w:pStyle w:val="ListParagraph"/>
        <w:numPr>
          <w:ilvl w:val="0"/>
          <w:numId w:val="2"/>
        </w:numPr>
        <w:spacing w:after="120" w:line="300"/>
      </w:pPr>
      <w:r>
        <w:rPr>
          <w:rFonts w:ascii="Arial" w:cs="Arial" w:eastAsia="Arial" w:hAnsi="Arial"/>
          <w:sz w:val="22"/>
          <w:szCs w:val="22"/>
        </w:rPr>
        <w:t xml:space="preserve">Direct Air Capture and CO₂ utilisation: Early-stage companies partnering with defence agencies for CO₂-to-fuel demonstrations at military sites, leveraging controlled environments and guaranteed offtake to develop technology that transfers to civilian carbon removal applications.</w:t>
      </w:r>
    </w:p>
    <w:p>
      <w:pPr>
        <w:pStyle w:val="ListParagraph"/>
        <w:numPr>
          <w:ilvl w:val="0"/>
          <w:numId w:val="2"/>
        </w:numPr>
        <w:spacing w:after="120" w:line="300"/>
      </w:pPr>
      <w:r>
        <w:rPr>
          <w:rFonts w:ascii="Arial" w:cs="Arial" w:eastAsia="Arial" w:hAnsi="Arial"/>
          <w:sz w:val="22"/>
          <w:szCs w:val="22"/>
        </w:rPr>
        <w:t xml:space="preserve">AI-optimised microgrid management: Startups using AI for predictive energy management at military bases with variable renewable inputs and high reliability requirements are developing the grid intelligence software that civilian distributed energy systems need as renewable penetration increases.</w:t>
      </w:r>
    </w:p>
    <w:p>
      <w:pPr>
        <w:spacing w:after="200" w:line="320"/>
      </w:pPr>
      <w:r>
        <w:rPr>
          <w:rFonts w:ascii="Arial" w:cs="Arial" w:eastAsia="Arial" w:hAnsi="Arial"/>
          <w:sz w:val="22"/>
          <w:szCs w:val="22"/>
        </w:rPr>
        <w:t xml:space="preserve">The strategic value of this layer is that startups inject dynamism and specialisation that prime contractors cannot replicate at the same pace. Their challenge is navigating classification constraints, export controls, and the transition from military to commercial manufacturing standards. Policy support — through dual-use incubators, matchmaking platforms between startups and primes, and “defence-first, civilian-scale” procurement pathways — would significantly accelerate the conversion rate.</w:t>
      </w:r>
    </w:p>
    <w:p>
      <w:pPr>
        <w:pStyle w:val="Heading1"/>
      </w:pPr>
      <w:r>
        <w:t xml:space="preserve">3. The Strategic Framework: Greening the Arsenal</w:t>
      </w:r>
    </w:p>
    <w:p>
      <w:pPr>
        <w:pStyle w:val="Heading2"/>
      </w:pPr>
      <w:r>
        <w:t xml:space="preserve">3.1 The Greenwashing Counterargument</w:t>
      </w:r>
    </w:p>
    <w:p>
      <w:pPr>
        <w:spacing w:after="200" w:line="320"/>
      </w:pPr>
      <w:r>
        <w:rPr>
          <w:rFonts w:ascii="Arial" w:cs="Arial" w:eastAsia="Arial" w:hAnsi="Arial"/>
          <w:sz w:val="22"/>
          <w:szCs w:val="22"/>
        </w:rPr>
        <w:t xml:space="preserve">This paper would not be credible without engaging directly with the most obvious objection: that framing arms manufacturers as climate champions is greenwashing at industrial scale. The objection has three components, each of which deserves an honest response.</w:t>
      </w:r>
    </w:p>
    <w:p>
      <w:pPr>
        <w:spacing w:after="200" w:line="320"/>
      </w:pPr>
      <w:r>
        <w:rPr>
          <w:rFonts w:ascii="Arial" w:cs="Arial" w:eastAsia="Arial" w:hAnsi="Arial"/>
          <w:sz w:val="22"/>
          <w:szCs w:val="22"/>
        </w:rPr>
        <w:t xml:space="preserve">First component: defence companies promote climate credentials while continuing to produce weapons systems whose manufacture and deployment generate large quantities of emissions. This is true. The CIGS solar factory in Colombia and the hybrid bus propulsion system do not cancel the carbon footprint of F-35 production or Patriot missile system maintenance. No one should claim they do. The argument in this paper is not that dual-use technology transfer eliminates military emissions; it is that it accelerates clean technology development that would otherwise develop more slowly, and that the military emissions themselves are reduced as e-fuels, batteries, and distributed renewables replace fossil fuel dependency in operations.</w:t>
      </w:r>
    </w:p>
    <w:p>
      <w:pPr>
        <w:spacing w:after="200" w:line="320"/>
      </w:pPr>
      <w:r>
        <w:rPr>
          <w:rFonts w:ascii="Arial" w:cs="Arial" w:eastAsia="Arial" w:hAnsi="Arial"/>
          <w:sz w:val="22"/>
          <w:szCs w:val="22"/>
        </w:rPr>
        <w:t xml:space="preserve">Second component: defence procurement of clean technology distorts the climate investment landscape by directing capital toward military specifications rather than cost-optimal civilian applications. This is a legitimate concern that policy design must address. The CALSTART model — repurposing defence facilities for civilian EV production — demonstrates that the infrastructure and talent can be redirected. Dual-use procurement mandates must include civilian cost and accessibility criteria, not only military performance specifications.</w:t>
      </w:r>
    </w:p>
    <w:p>
      <w:pPr>
        <w:spacing w:after="200" w:line="320"/>
      </w:pPr>
      <w:r>
        <w:rPr>
          <w:rFonts w:ascii="Arial" w:cs="Arial" w:eastAsia="Arial" w:hAnsi="Arial"/>
          <w:sz w:val="22"/>
          <w:szCs w:val="22"/>
        </w:rPr>
        <w:t xml:space="preserve">Third component: framing arms manufacturers as environmental benefactors provides political cover for continued weapons proliferation. This paper makes no claim about the net social value of the defence industry. It makes a narrower claim: that the technical capabilities and capital deployed in defence can produce clean technology at a scale and speed that is difficult to achieve through civilian pathways alone. Readers who reject that claim on political grounds will find this paper unconvincing. Readers who are persuaded by the evidence of technology transfer should engage with the policy design questions in Section 3.2.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THE HONEST POSITION</w:t>
            </w:r>
          </w:p>
          <w:p>
            <w:pPr>
              <w:spacing w:line="300"/>
            </w:pPr>
            <w:r>
              <w:rPr>
                <w:rFonts w:ascii="Arial" w:cs="Arial" w:eastAsia="Arial" w:hAnsi="Arial"/>
                <w:i/>
                <w:iCs/>
                <w:sz w:val="22"/>
                <w:szCs w:val="22"/>
              </w:rPr>
              <w:t xml:space="preserve">This paper does not argue that arms manufacturers are good actors, that military spending is desirable, or that defence-driven climate technology transfer is sufficient to address the climate crisis. It argues that the technical capabilities and capital deployed in the defence sector can accelerate clean technology development, and that policy frameworks should be designed to maximise that acceleration while maintaining civilian cost and accessibility standards.</w:t>
            </w:r>
          </w:p>
        </w:tc>
      </w:tr>
    </w:tbl>
    <w:p>
      <w:pPr>
        <w:pStyle w:val="Heading2"/>
      </w:pPr>
      <w:r>
        <w:t xml:space="preserve">3.2 Policy Architecture for Technology Transfer</w:t>
      </w:r>
    </w:p>
    <w:p>
      <w:pPr>
        <w:spacing w:after="200" w:line="320"/>
      </w:pPr>
      <w:r>
        <w:rPr>
          <w:rFonts w:ascii="Arial" w:cs="Arial" w:eastAsia="Arial" w:hAnsi="Arial"/>
          <w:sz w:val="22"/>
          <w:szCs w:val="22"/>
        </w:rPr>
        <w:t xml:space="preserve">Three policy instruments are required to maximise the civilian climate benefit of defence investment:</w:t>
      </w:r>
    </w:p>
    <w:p>
      <w:pPr>
        <w:spacing w:after="200" w:line="320"/>
      </w:pPr>
      <w:r>
        <w:rPr>
          <w:rFonts w:ascii="Arial" w:cs="Arial" w:eastAsia="Arial" w:hAnsi="Arial"/>
          <w:b/>
          <w:bCs/>
          <w:sz w:val="22"/>
          <w:szCs w:val="22"/>
        </w:rPr>
        <w:t xml:space="preserve">1. Conversion-First Industrial Policy</w:t>
      </w:r>
    </w:p>
    <w:p>
      <w:pPr>
        <w:spacing w:after="200" w:line="320"/>
      </w:pPr>
      <w:r>
        <w:rPr>
          <w:rFonts w:ascii="Arial" w:cs="Arial" w:eastAsia="Arial" w:hAnsi="Arial"/>
          <w:sz w:val="22"/>
          <w:szCs w:val="22"/>
        </w:rPr>
        <w:t xml:space="preserve">Rather than simply cutting or increasing defence budgets, governments should direct defence spending toward dual-use and civilian technology production. The post-Cold War CALSTART initiative in California — which transformed Lockheed’s shuttered Burbank facility into an electric vehicle innovation hub — provides the template. The facility retained the engineering talent and physical infrastructure while redirecting output from military to civilian clean technology. The lesson: conversion is cheaper and faster than new construction when the engineering base already exists.</w:t>
      </w:r>
    </w:p>
    <w:p>
      <w:pPr>
        <w:spacing w:after="200" w:line="320"/>
      </w:pPr>
      <w:r>
        <w:rPr>
          <w:rFonts w:ascii="Arial" w:cs="Arial" w:eastAsia="Arial" w:hAnsi="Arial"/>
          <w:b/>
          <w:bCs/>
          <w:sz w:val="22"/>
          <w:szCs w:val="22"/>
        </w:rPr>
        <w:t xml:space="preserve">2. Dual-Use Procurement Mandates</w:t>
      </w:r>
    </w:p>
    <w:p>
      <w:pPr>
        <w:spacing w:after="200" w:line="320"/>
      </w:pPr>
      <w:r>
        <w:rPr>
          <w:rFonts w:ascii="Arial" w:cs="Arial" w:eastAsia="Arial" w:hAnsi="Arial"/>
          <w:sz w:val="22"/>
          <w:szCs w:val="22"/>
        </w:rPr>
        <w:t xml:space="preserve">Major defence contracts should require bidders to demonstrate civilian technology transfer potential and environmental performance criteria alongside operational requirements. This does not mean sacrificing military capability for green credentials; it means selecting between technically equivalent systems on the basis of dual-use value. Where two propulsion systems meet the same military specification, the system with the demonstrable civilian clean energy application should be preferred. This creates a guaranteed market signal for dual-use innovation without compromising procurement integrity.</w:t>
      </w:r>
    </w:p>
    <w:p>
      <w:pPr>
        <w:spacing w:after="200" w:line="320"/>
      </w:pPr>
      <w:r>
        <w:rPr>
          <w:rFonts w:ascii="Arial" w:cs="Arial" w:eastAsia="Arial" w:hAnsi="Arial"/>
          <w:b/>
          <w:bCs/>
          <w:sz w:val="22"/>
          <w:szCs w:val="22"/>
        </w:rPr>
        <w:t xml:space="preserve">3. Just Transition Programmes</w:t>
      </w:r>
    </w:p>
    <w:p>
      <w:pPr>
        <w:spacing w:after="200" w:line="320"/>
      </w:pPr>
      <w:r>
        <w:rPr>
          <w:rFonts w:ascii="Arial" w:cs="Arial" w:eastAsia="Arial" w:hAnsi="Arial"/>
          <w:sz w:val="22"/>
          <w:szCs w:val="22"/>
        </w:rPr>
        <w:t xml:space="preserve">Defence workers — among the most highly skilled engineers in any industrial economy — must be explicitly included in clean energy transition workforce programmes. Survey data from the Costs of War Project indicates that defence workers express genuine concern about climate change and demonstrate willingness to work in sustainable industries when retraining pathways are provided (Costs of War Project, 2023). The risk of climate transition — that high-skill industrial communities are displaced rather than redirected — is exactly the risk that just transition programmes must address. Defence-to-climate conversion is the cleanest available case: same engineers, same facilities, different product.</w:t>
      </w:r>
    </w:p>
    <w:p>
      <w:pPr>
        <w:pStyle w:val="Heading2"/>
      </w:pPr>
      <w:r>
        <w:t xml:space="preserve">3.3 The Investment Case</w:t>
      </w:r>
    </w:p>
    <w:p>
      <w:pPr>
        <w:spacing w:after="200" w:line="320"/>
      </w:pPr>
      <w:r>
        <w:rPr>
          <w:rFonts w:ascii="Arial" w:cs="Arial" w:eastAsia="Arial" w:hAnsi="Arial"/>
          <w:sz w:val="22"/>
          <w:szCs w:val="22"/>
        </w:rPr>
        <w:t xml:space="preserve">The financial returns from defence-climate technology convergence are quantifiable in three high-growth sectors: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2500"/>
        <w:gridCol w:w="2000"/>
      </w:tblGrid>
      <w:tr>
        <w:trPr>
          <w:tblHeader/>
        </w:trPr>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Sector</w:t>
            </w:r>
          </w:p>
        </w:tc>
        <w:tc>
          <w:tcPr>
            <w:tcW w:type="dxa" w:w="2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Market Size (2030 Projection)</w:t>
            </w:r>
          </w:p>
        </w:tc>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Defence Driver</w:t>
            </w:r>
          </w:p>
        </w:tc>
        <w:tc>
          <w:tcPr>
            <w:tcW w:type="dxa" w:w="2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Civilian Application</w:t>
            </w:r>
          </w:p>
        </w:tc>
      </w:tr>
      <w:tr>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Electric Military Vehicles</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~US$27 billion</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Operational resilience; reduced fuel logistics</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Commercial EVs; public transit; fleet electrification</w:t>
            </w:r>
          </w:p>
        </w:tc>
      </w:tr>
      <w:tr>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Synthetic Fuels (E-Fuels)</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~US$70 billion</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Strategic autonomy from fossil fuel markets</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Aviation, shipping, heavy transport decarbonisation</w:t>
            </w:r>
          </w:p>
        </w:tc>
      </w:tr>
      <w:tr>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Distributed Energy Systems</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Integrated into broader energy transition</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Base resilience; reduced supply chain vulnerability</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Grid modernisation; off-grid electrification; climate resilience</w:t>
            </w:r>
          </w:p>
        </w:tc>
      </w:tr>
      <w:tr>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Dual-Use Climate Satellites</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US$2.9 billion + (DoD climate monitoring contracts)</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Weather intelligence; environmental battlefield awareness</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Wildfire detection; methane monitoring; deforestation tracking</w:t>
            </w:r>
          </w:p>
        </w:tc>
      </w:tr>
    </w:tbl>
    <w:p>
      <w:pPr>
        <w:spacing w:after="100"/>
      </w:pPr>
      <w:r>
        <w:t xml:space="preserve"/>
      </w:r>
    </w:p>
    <w:p>
      <w:pPr>
        <w:spacing w:after="200" w:line="320"/>
      </w:pPr>
      <w:r>
        <w:rPr>
          <w:rFonts w:ascii="Arial" w:cs="Arial" w:eastAsia="Arial" w:hAnsi="Arial"/>
          <w:sz w:val="22"/>
          <w:szCs w:val="22"/>
        </w:rPr>
        <w:t xml:space="preserve">These are not hypothetical projections. They are market sizes derived from documented government procurement commitments, published company strategies, and independent market analysis. The investment case does not require optimistic assumptions about voluntary corporate behaviour — it requires only that existing strategic imperatives continue to drive procurement decisions.</w:t>
      </w:r>
    </w:p>
    <w:p>
      <w:pPr>
        <w:pStyle w:val="Heading2"/>
      </w:pPr>
      <w:r>
        <w:t xml:space="preserve">3.4 Atmospheric Chemistry: The Full Emissions Inventory</w:t>
      </w:r>
    </w:p>
    <w:p>
      <w:pPr>
        <w:spacing w:after="200" w:line="320"/>
      </w:pPr>
      <w:r>
        <w:rPr>
          <w:rFonts w:ascii="Arial" w:cs="Arial" w:eastAsia="Arial" w:hAnsi="Arial"/>
          <w:sz w:val="22"/>
          <w:szCs w:val="22"/>
        </w:rPr>
        <w:t xml:space="preserve">A complete environmental assessment of the defence–climate nexus requires engaging with the atmospheric chemistry of military emissions, not only their CO₂ equivalents. Military operations produce a complex mixture of greenhouse gases and air pollutants whose climate and health impacts extend well beyond the headline carbon numbers.</w:t>
      </w:r>
    </w:p>
    <w:p>
      <w:pPr>
        <w:spacing w:after="200" w:line="320"/>
      </w:pPr>
      <w:r>
        <w:rPr>
          <w:rFonts w:ascii="Arial" w:cs="Arial" w:eastAsia="Arial" w:hAnsi="Arial"/>
          <w:sz w:val="22"/>
          <w:szCs w:val="22"/>
        </w:rPr>
        <w:t xml:space="preserve">Military aviation is particularly significant. Jet aircraft emit CO₂, water vapour (H₂O), nitrogen oxides (NOx), particulate matter (black carbon soot), and unburned hydrocarbons. At cruise altitudes (8–12km), the NOx emissions from jet engines catalyse the formation of tropospheric ozone (O₃) through the reaction sequence: NO + HO₂ → NO₂ + OH, followed by NO₂ + hν → NO + O, and O + O₂ + M → O₃ + M. Tropospheric ozone is a powerful greenhouse gas with a global warming potential approximately 1,000 times that of CO₂ on a per-molecule basis, and it is also a respiratory pollutant that damages lung tissue at ground level. The NOx emissions from a single military air exercise can produce measurable ozone enhancements in the downwind atmosphere.</w:t>
      </w:r>
    </w:p>
    <w:p>
      <w:pPr>
        <w:spacing w:after="200" w:line="320"/>
      </w:pPr>
      <w:r>
        <w:rPr>
          <w:rFonts w:ascii="Arial" w:cs="Arial" w:eastAsia="Arial" w:hAnsi="Arial"/>
          <w:sz w:val="22"/>
          <w:szCs w:val="22"/>
        </w:rPr>
        <w:t xml:space="preserve">Contrails — condensation trails formed when hot, moist jet exhaust meets cold, humid air at altitude — are another underquantified warming agent. Contrails form ice crystals that can persist as cirrus cloud for hours or days, trapping outgoing longwave radiation. The climate impact of aviation contrails is estimated to equal or exceed that of the cumulative CO₂ from aviation — meaning that the warming effect of military aviation may be twice the headline CO₂ figure. E-fuels, because they contain no sulphur and fewer aromatic compounds than conventional jet fuel, produce smaller and shorter-lived contrails: a direct atmospheric chemistry benefit beyond the carbon cycle closure discussed in Section 1.3.</w:t>
      </w:r>
    </w:p>
    <w:p>
      <w:pPr>
        <w:spacing w:after="200" w:line="320"/>
      </w:pPr>
      <w:r>
        <w:rPr>
          <w:rFonts w:ascii="Arial" w:cs="Arial" w:eastAsia="Arial" w:hAnsi="Arial"/>
          <w:sz w:val="22"/>
          <w:szCs w:val="22"/>
        </w:rPr>
        <w:t xml:space="preserve">Weapons testing and training create additional atmospheric chemistry challenges. Perchlorate (ClO₄⁻), a powerful oxidising agent used in solid rocket propellants and certain explosives, is highly water-soluble and persistent in the environment. It disrupts the uptake of iodine by the thyroid gland (because perchlorate and iodide share the same sodium-iodide symporter), with downstream effects on metabolic regulation and foetal neurological development. PFAS (per- and polyfluoroalkyl substances), used extensively in military firefighting foam (aqueous film-forming foam, AFFF), are essentially indestructible under natural conditions: the carbon-fluorine bond (bond energy 544 kJ/mol, one of the strongest in organic chemistry) resists biological degradation, UV photolysis, and most chemical oxidation processes. PFAS compounds have been detected in groundwater at approximately 700 military installations across the United States, and in the blood of communities living near military bases worldwide.</w:t>
      </w:r>
    </w:p>
    <w:p>
      <w:pPr>
        <w:spacing w:after="200" w:line="320"/>
      </w:pPr>
      <w:r>
        <w:rPr>
          <w:rFonts w:ascii="Arial" w:cs="Arial" w:eastAsia="Arial" w:hAnsi="Arial"/>
          <w:sz w:val="22"/>
          <w:szCs w:val="22"/>
        </w:rPr>
        <w:t xml:space="preserve">The complete solution pathway for military PFAS contamination involves three stages: source elimination (transitioning from AFFF to fluorine-free firefighting foam, already mandated by the US National Defense Authorization Act 2020); site remediation (using granular activated carbon filtration, ion exchange resins, and emerging electrochemical oxidation and sonochemical destruction technologies); and biological monitoring (longitudinal epidemiological studies of affected communities, funded from defence budgets, to quantify health impacts and establish liability frameworks). Each stage involves environmental chemistry and public health science that, when applied at military contamination sites, produces methodologies directly transferable to civilian industrial contamination remediation.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THE CHEMISTRY OF ACCOUNTABILITY</w:t>
            </w:r>
          </w:p>
          <w:p>
            <w:pPr>
              <w:spacing w:line="300"/>
            </w:pPr>
            <w:r>
              <w:rPr>
                <w:rFonts w:ascii="Arial" w:cs="Arial" w:eastAsia="Arial" w:hAnsi="Arial"/>
                <w:i/>
                <w:iCs/>
                <w:sz w:val="22"/>
                <w:szCs w:val="22"/>
              </w:rPr>
              <w:t xml:space="preserve">PFAS contamination at military sites is one of the most significant environmental chemistry challenges of the 21st century. The same analytical chemistry — liquid chromatography-tandem mass spectrometry (LC-MS/MS) capable of detecting PFAS at parts-per-trillion concentrations — that documents the contamination also provides the measurement framework for remediation effectiveness. The defence sector’s legal and financial exposure to PFAS liability is creating the investment in remediation chemistry that civilian industry has not yet been compelled to make. This is environmental accountability at the hardest end of the spectrum.</w:t>
            </w:r>
          </w:p>
        </w:tc>
      </w:tr>
    </w:tbl>
    <w:p>
      <w:pPr>
        <w:pStyle w:val="Heading1"/>
      </w:pPr>
      <w:r>
        <w:t xml:space="preserve">4. The Geopolitical Dimension: European Leadership</w:t>
      </w:r>
    </w:p>
    <w:p>
      <w:pPr>
        <w:pStyle w:val="Heading2"/>
      </w:pPr>
      <w:r>
        <w:t xml:space="preserve">4.1 Reconciling Security and Sustainability</w:t>
      </w:r>
    </w:p>
    <w:p>
      <w:pPr>
        <w:spacing w:after="200" w:line="320"/>
      </w:pPr>
      <w:r>
        <w:rPr>
          <w:rFonts w:ascii="Arial" w:cs="Arial" w:eastAsia="Arial" w:hAnsi="Arial"/>
          <w:sz w:val="22"/>
          <w:szCs w:val="22"/>
        </w:rPr>
        <w:t xml:space="preserve">The European Union faces a structural tension: the EU Green Deal commits to climate neutrality by 2050, while the current geopolitical environment demands unprecedented increases in defence spending. On the surface, these imperatives conflict — defence spending increases carbon footprints; Green Deal commitments constrain industrial emissions. In practice, this tension is a false dichotomy, and the policy design that resolves it is clear.</w:t>
      </w:r>
    </w:p>
    <w:p>
      <w:pPr>
        <w:spacing w:after="200" w:line="320"/>
      </w:pPr>
      <w:r>
        <w:rPr>
          <w:rFonts w:ascii="Arial" w:cs="Arial" w:eastAsia="Arial" w:hAnsi="Arial"/>
          <w:sz w:val="22"/>
          <w:szCs w:val="22"/>
        </w:rPr>
        <w:t xml:space="preserve">The resolution lies in the observation that the defence sector’s most pressing operational requirements — energy independence, supply chain resilience, reduced logistical vulnerability — are structurally aligned with decarbonisation. A military that runs on domestically produced e-fuels and sodium-ion batteries is simultaneously a military that has reduced its exposure to international fossil fuel markets, its dependency on China’s critical mineral supply chains, and its carbon footprint. The EU’s €800 billion defence investment, structured correctly, can advance the Green Deal rather than undermine it.</w:t>
      </w:r>
    </w:p>
    <w:p>
      <w:pPr>
        <w:pStyle w:val="Heading2"/>
      </w:pPr>
      <w:r>
        <w:t xml:space="preserve">4.2 The Strategic Autonomy Advantage</w:t>
      </w:r>
    </w:p>
    <w:p>
      <w:pPr>
        <w:spacing w:after="200" w:line="320"/>
      </w:pPr>
      <w:r>
        <w:rPr>
          <w:rFonts w:ascii="Arial" w:cs="Arial" w:eastAsia="Arial" w:hAnsi="Arial"/>
          <w:sz w:val="22"/>
          <w:szCs w:val="22"/>
        </w:rPr>
        <w:t xml:space="preserve">The autonomy argument is the most politically durable case for defence-led climate technology investment, because it appeals to strategic rather than environmental logic. E-fuels produced domestically from renewable electricity eliminate exposure to international oil price volatility — a security argument that crosses ideological lines. Sodium-ion batteries manufactured in Europe with a European supply chain reduce dependency on Chinese critical mineral exports — an industrial policy argument with bipartisan support in most European democracies. Distributed solar and battery systems at forward operating bases reduce the fuel logistics tail that is one of the most dangerous operational vulnerabilities in modern warfare.</w:t>
      </w:r>
    </w:p>
    <w:p>
      <w:pPr>
        <w:spacing w:after="200" w:line="320"/>
      </w:pPr>
      <w:r>
        <w:rPr>
          <w:rFonts w:ascii="Arial" w:cs="Arial" w:eastAsia="Arial" w:hAnsi="Arial"/>
          <w:sz w:val="22"/>
          <w:szCs w:val="22"/>
        </w:rPr>
        <w:t xml:space="preserve">As Scandinavian Astor’s CEO stated regarding the company’s partnership with Altris on sodium-ion battery development: “Manufacturing batteries in Sweden, with a European supply chain, is an important strategic reinforcement for both our customers and Europe’s overall supply capacity.” This sentence encapsulates the strategic autonomy argument: the motivation is explicitly security, not sustainability, but the outcome serves both.</w:t>
      </w:r>
    </w:p>
    <w:p>
      <w:pPr>
        <w:spacing w:after="200" w:line="320"/>
      </w:pPr>
      <w:r>
        <w:rPr>
          <w:rFonts w:ascii="Arial" w:cs="Arial" w:eastAsia="Arial" w:hAnsi="Arial"/>
          <w:sz w:val="22"/>
          <w:szCs w:val="22"/>
        </w:rPr>
        <w:t xml:space="preserve">The geopolitical case for European leadership in defence-climate technology is therefore not that Europe should sacrifice defence capability for environmental credentials. It is that the specific technologies required for operational resilience in the current security environment are the same technologies required for the energy transition — and that leading in their development provides both security and economic advantage in a world where clean energy technology export capacity will be a major determinant of economic power.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500"/>
        <w:gridCol w:w="2000"/>
      </w:tblGrid>
      <w:tr>
        <w:trPr>
          <w:tblHeader/>
        </w:trPr>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Technology</w:t>
            </w:r>
          </w:p>
        </w:tc>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Strategic Autonomy Benefit</w:t>
            </w:r>
          </w:p>
        </w:tc>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Climate Benefit</w:t>
            </w:r>
          </w:p>
        </w:tc>
        <w:tc>
          <w:tcPr>
            <w:tcW w:type="dxa" w:w="2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European Industrial Advantage</w:t>
            </w:r>
          </w:p>
        </w:tc>
      </w:tr>
      <w:tr>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E-Fuels</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Eliminates fossil fuel import dependency</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Decarbonises hard-to-electrify sectors</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Rheinmetall Giga PtX; domestic production</w:t>
            </w:r>
          </w:p>
        </w:tc>
      </w:tr>
      <w:tr>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Sodium-Ion Batteries</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Removes China critical mineral dependency</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Grid-scale clean energy storage</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Scandinavian Astor/Altris European supply chain</w:t>
            </w:r>
          </w:p>
        </w:tc>
      </w:tr>
      <w:tr>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CIGS Solar Panels</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Domestic renewable manufacturing</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Distributed clean power generation</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Saab/Midsummer Colombia model</w:t>
            </w:r>
          </w:p>
        </w:tc>
      </w:tr>
      <w:tr>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Dual-Use Satellites</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Environmental battlefield awareness</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Climate monitoring infrastructure</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Muon Space model; EU space programme</w:t>
            </w:r>
          </w:p>
        </w:tc>
      </w:tr>
    </w:tbl>
    <w:p>
      <w:pPr>
        <w:pStyle w:val="Heading2"/>
      </w:pPr>
      <w:r>
        <w:t xml:space="preserve">4.3 Earth Systems Science: What the Military Already Knows</w:t>
      </w:r>
    </w:p>
    <w:p>
      <w:pPr>
        <w:spacing w:after="200" w:line="320"/>
      </w:pPr>
      <w:r>
        <w:rPr>
          <w:rFonts w:ascii="Arial" w:cs="Arial" w:eastAsia="Arial" w:hAnsi="Arial"/>
          <w:sz w:val="22"/>
          <w:szCs w:val="22"/>
        </w:rPr>
        <w:t xml:space="preserve">The US Department of Defense’s 2023 Climate Risk Analysis identifies seven categories of climate threat to military operations: extreme weather, sea-level rise and coastal flooding, permafrost thaw affecting arctic operations and infrastructure, drought and water scarcity in operational theatres, vector-borne disease range expansion, food insecurity amplifying conflict risk, and disruption to critical minerals supply chains. This is not a policy document; it is an earth systems science assessment applied to operational planning. And it contains a striking implication: the military has been tracking planetary boundary violations before most civilian institutions understood what planetary boundaries were.</w:t>
      </w:r>
    </w:p>
    <w:p>
      <w:pPr>
        <w:spacing w:after="200" w:line="320"/>
      </w:pPr>
      <w:r>
        <w:rPr>
          <w:rFonts w:ascii="Arial" w:cs="Arial" w:eastAsia="Arial" w:hAnsi="Arial"/>
          <w:sz w:val="22"/>
          <w:szCs w:val="22"/>
        </w:rPr>
        <w:t xml:space="preserve">Consider permafrost. The Arctic permafrost layer — soil that has remained frozen for at least two consecutive years — covers approximately 25% of the Northern Hemisphere’s land surface and contains an estimated 1.5 trillion tonnes of organic carbon: roughly twice the current atmospheric carbon load. As Arctic temperatures rise at approximately three to four times the global average rate, permafrost is thawing, and the microbial decomposition of previously frozen organic matter is releasing methane (CH₄) and carbon dioxide. Methane has a global warming potential approximately 84 times that of CO₂ over a 20-year timeframe. The potential positive feedback loop — warming causes permafrost thaw, which releases methane, which causes further warming — is one of the most concerning potential tipping points in Earth system science.</w:t>
      </w:r>
    </w:p>
    <w:p>
      <w:pPr>
        <w:spacing w:after="200" w:line="320"/>
      </w:pPr>
      <w:r>
        <w:rPr>
          <w:rFonts w:ascii="Arial" w:cs="Arial" w:eastAsia="Arial" w:hAnsi="Arial"/>
          <w:sz w:val="22"/>
          <w:szCs w:val="22"/>
        </w:rPr>
        <w:t xml:space="preserve">The military connection is direct. Russia’s Northern Fleet and Arctic infrastructure are partially built on permafrost. NATO’s military planning for Arctic operations must account for permafrost instability. The US Army Corps of Engineers has been studying permafrost dynamics since the Korean War era for infrastructure planning in Alaska. The monitoring infrastructure that defence agencies have deployed across the Arctic — seismic sensors, ground-penetrating radar, satellite imaging, atmospheric monitoring stations — constitutes some of the most comprehensive Earth observation infrastructure in existence. This data, when shared with the scientific community, is irreplaceable for climate modelling.</w:t>
      </w:r>
    </w:p>
    <w:p>
      <w:pPr>
        <w:spacing w:after="200" w:line="320"/>
      </w:pPr>
      <w:r>
        <w:rPr>
          <w:rFonts w:ascii="Arial" w:cs="Arial" w:eastAsia="Arial" w:hAnsi="Arial"/>
          <w:sz w:val="22"/>
          <w:szCs w:val="22"/>
        </w:rPr>
        <w:t xml:space="preserve">Ocean chemistry presents a parallel case. The ocean has absorbed approximately 25% of all human CO₂ emissions since industrialisation, and 93% of the excess heat trapped by greenhouse gases. This absorption is driving ocean acidification: as CO₂ dissolves in seawater, it forms carbonic acid (H₂CO₃), which dissociates to release hydrogen ions, lowering pH. Ocean surface pH has dropped from approximately 8.2 to 8.1 since pre-industrial times — a 26% increase in hydrogen ion concentration. At pH levels below approximately 7.8, the calcium carbonate (CaCO₃) shells of oysters, coral polyps, pteropods, and foraminifera begin to dissolve. These organisms are foundational to marine food webs and to the biological carbon pump that transfers atmospheric carbon to the deep ocean.</w:t>
      </w:r>
    </w:p>
    <w:p>
      <w:pPr>
        <w:spacing w:after="200" w:line="320"/>
      </w:pPr>
      <w:r>
        <w:rPr>
          <w:rFonts w:ascii="Arial" w:cs="Arial" w:eastAsia="Arial" w:hAnsi="Arial"/>
          <w:sz w:val="22"/>
          <w:szCs w:val="22"/>
        </w:rPr>
        <w:t xml:space="preserve">Naval operations require precise knowledge of ocean chemistry and physics: acoustic propagation in the ocean is affected by temperature, salinity, and pressure gradients (the sound speed equation c ≈ 1449 + 4.6T − 0.055T² + 0.00029T³ + (1.34 − 0.010T)(S − 35) + 0.016D, where T is temperature, S is salinity, and D is depth). Naval oceanographic monitoring is therefore simultaneously Earth systems science of the highest quality. The data collected by submarine-deployed sensors and naval research vessels constitutes an irreplaceable record of ocean warming, acidification, and deoxygenation that climate science depends upon.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THE MILITARY AS EARTH OBSERVATION NETWORK</w:t>
            </w:r>
          </w:p>
          <w:p>
            <w:pPr>
              <w:spacing w:line="300"/>
            </w:pPr>
            <w:r>
              <w:rPr>
                <w:rFonts w:ascii="Arial" w:cs="Arial" w:eastAsia="Arial" w:hAnsi="Arial"/>
                <w:i/>
                <w:iCs/>
                <w:sz w:val="22"/>
                <w:szCs w:val="22"/>
              </w:rPr>
              <w:t xml:space="preserve">The world’s largest Earth observation network is not operated by climate scientists. It is operated by defence agencies. Satellite constellations, ocean sensors, atmospheric monitoring stations, Arctic ground instruments, and airborne sensing platforms deployed for strategic intelligence purposes represent a planetary monitoring capability that civilian science cannot replicate independently. The dual-use case for this infrastructure is not hypothetical: Muon Space’s wildfire detection constellation is one documented example of defence Earth observation being redirected to climate monitoring. The full potential of this infrastructure for climate science has barely been explored.</w:t>
            </w:r>
          </w:p>
        </w:tc>
      </w:tr>
    </w:tbl>
    <w:p>
      <w:pPr>
        <w:pStyle w:val="Heading2"/>
      </w:pPr>
      <w:r>
        <w:t xml:space="preserve">4.4 Marine Biology: From Sonar to Sanctuary</w:t>
      </w:r>
    </w:p>
    <w:p>
      <w:pPr>
        <w:spacing w:after="200" w:line="320"/>
      </w:pPr>
      <w:r>
        <w:rPr>
          <w:rFonts w:ascii="Arial" w:cs="Arial" w:eastAsia="Arial" w:hAnsi="Arial"/>
          <w:sz w:val="22"/>
          <w:szCs w:val="22"/>
        </w:rPr>
        <w:t xml:space="preserve">Naval operations have long been recognised as a source of ecological impact on marine environments. Active sonar systems — used for submarine detection — emit sound pulses at frequencies between 100 Hz and 500 kHz and intensities up to 235 decibels referenced to one micropascal (dB re 1μPa), levels that can cause auditory trauma, behavioural disruption, and in extreme cases, death in cetaceans (whales, dolphins, and porpoises) through haemorrhage in acoustic tissues and gas emboli caused by panic-driven rapid surfacing. The physical mechanism involves the temporary or permanent threshold shift in hair cells of the cetacean cochlea, disrupting the acoustic communication and echolocation on which these animals depend for feeding, navigation, and social bonding.</w:t>
      </w:r>
    </w:p>
    <w:p>
      <w:pPr>
        <w:spacing w:after="200" w:line="320"/>
      </w:pPr>
      <w:r>
        <w:rPr>
          <w:rFonts w:ascii="Arial" w:cs="Arial" w:eastAsia="Arial" w:hAnsi="Arial"/>
          <w:sz w:val="22"/>
          <w:szCs w:val="22"/>
        </w:rPr>
        <w:t xml:space="preserve">This is a genuine conflict between military operational requirements and marine conservation. But the same acoustic sensing infrastructure that creates this tension also provides the most comprehensive passive acoustic monitoring network for cetacean populations that exists. The US Navy’s Sound Surveillance System (SOSUS), a network of hydrophones on the ocean floor originally deployed for Cold War submarine tracking, has been progressively declassified and made available to marine biologists. SOSUS has enabled the first documentation of blue whale (Balaenoptera musculus) migration routes across ocean basins, the discovery of low-frequency calls (“blue whale choruses”) previously undetected by surface monitoring, and the real-time tracking of fin whale populations. The largest dataset on cetacean acoustic behaviour in the deep ocean exists because navies built and operated hydrophone networks for strategic purposes.</w:t>
      </w:r>
    </w:p>
    <w:p>
      <w:pPr>
        <w:spacing w:after="200" w:line="320"/>
      </w:pPr>
      <w:r>
        <w:rPr>
          <w:rFonts w:ascii="Arial" w:cs="Arial" w:eastAsia="Arial" w:hAnsi="Arial"/>
          <w:sz w:val="22"/>
          <w:szCs w:val="22"/>
        </w:rPr>
        <w:t xml:space="preserve">Naval vessel hulls present a different kind of marine biology opportunity. Steel-hulled ships accumulate biofouling communities — barnacles, mussels, tube worms, bryozoans, tunicates, anemones — that, over time, develop diverse and productive artificial reef ecosystems. Decommissioned naval vessels, deliberately sunk as artificial reefs, have become some of the world’s most productive marine habitats: the USS Spiegel Grove off Key Largo, the HMAS Brisbane off Queensland, and dozens of others now support fish biomass and species diversity comparable to natural coral reefs. The structural complexity of warship superstructure — gun turrets, missile launchers, engine rooms, corridors — creates the vertical relief, shelter, and substrate diversity that reef fish communities require.</w:t>
      </w:r>
    </w:p>
    <w:p>
      <w:pPr>
        <w:spacing w:after="200" w:line="320"/>
      </w:pPr>
      <w:r>
        <w:rPr>
          <w:rFonts w:ascii="Arial" w:cs="Arial" w:eastAsia="Arial" w:hAnsi="Arial"/>
          <w:sz w:val="22"/>
          <w:szCs w:val="22"/>
        </w:rPr>
        <w:t xml:space="preserve">The complete solution pathway for naval ecological impact connects sonar impacts to operational protocol reform (spatial and temporal exclusion zones, ramp-up procedures that allow cetaceans to move away before full sonar intensity is reached), to passive acoustic monitoring infrastructure shared with marine science, to decommissioned vessel deployment as artificial reefs, to the establishment of marine protected areas in naval exclusion zones. Each step uses existing naval infrastructure and protocols; the environmental benefit accumulates across the full pathway.</w:t>
      </w:r>
    </w:p>
    <w:p>
      <w:pPr>
        <w:pStyle w:val="Heading1"/>
      </w:pPr>
      <w:r>
        <w:t xml:space="preserve">5. Implementation Roadmap</w:t>
      </w:r>
    </w:p>
    <w:p>
      <w:pPr>
        <w:pStyle w:val="Heading2"/>
      </w:pPr>
      <w:r>
        <w:t xml:space="preserve">5.1 Phase 1: Policy Foundation (0–18 Months)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500"/>
        <w:gridCol w:w="2000"/>
      </w:tblGrid>
      <w:tr>
        <w:trPr>
          <w:tblHeader/>
        </w:trPr>
        <w:tc>
          <w:tcPr>
            <w:tcW w:type="dxa" w:w="4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Action</w:t>
            </w:r>
          </w:p>
        </w:tc>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Responsible Actor</w:t>
            </w:r>
          </w:p>
        </w:tc>
        <w:tc>
          <w:tcPr>
            <w:tcW w:type="dxa" w:w="2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Timeline</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Establish dual-use procurement criteria in major defence contracts</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National governments; EU Commission</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Q1–Q2 2027</w:t>
            </w:r>
          </w:p>
        </w:tc>
      </w:tr>
      <w:tr>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Launch joint defence-climate worker retraining programmes</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Defence ministries; labour departments</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Q2–Q3 2027</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Create dual-use technology incubators at existing defence facilities</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Defence agencies; national innovation bodies</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Q2–Q4 2027</w:t>
            </w:r>
          </w:p>
        </w:tc>
      </w:tr>
      <w:tr>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Mandate military emissions tracking and public reporting</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National governments; NATO</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Q3–Q4 2027</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Establish matchmaking platforms between startups, primes, and procurement</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Defence innovation agencies</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Q4 2027</w:t>
            </w:r>
          </w:p>
        </w:tc>
      </w:tr>
    </w:tbl>
    <w:p>
      <w:pPr>
        <w:spacing w:after="100"/>
      </w:pPr>
      <w:r>
        <w:t xml:space="preserve"/>
      </w:r>
    </w:p>
    <w:p>
      <w:pPr>
        <w:pStyle w:val="Heading2"/>
      </w:pPr>
      <w:r>
        <w:t xml:space="preserve">5.2 Phase 2: Technology Deployment (18–36 Months)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500"/>
        <w:gridCol w:w="2000"/>
      </w:tblGrid>
      <w:tr>
        <w:trPr>
          <w:tblHeader/>
        </w:trPr>
        <w:tc>
          <w:tcPr>
            <w:tcW w:type="dxa" w:w="4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Action</w:t>
            </w:r>
          </w:p>
        </w:tc>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Responsible Actor</w:t>
            </w:r>
          </w:p>
        </w:tc>
        <w:tc>
          <w:tcPr>
            <w:tcW w:type="dxa" w:w="2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Timeline</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Scale e-fuel production to military specifications and civilian offtake</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Rheinmetall; national energy agencies</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2028–2029</w:t>
            </w:r>
          </w:p>
        </w:tc>
      </w:tr>
      <w:tr>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Deploy sodium-ion battery systems for both defence and grid storage</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Scandinavian Astor/Oscilion; grid operators</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2028–2029</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Expand CIGS solar manufacturing linked to defence offsets</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Saab/Midsummer model; replication in other markets</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2028–2029</w:t>
            </w:r>
          </w:p>
        </w:tc>
      </w:tr>
      <w:tr>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Commercialise dual-use satellite climate monitoring infrastructure</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Muon Space model; EU Copernicus integration</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2028–2029</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Deploy AI-optimised microgrid systems at forward operating bases</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Vincorion; startup ecosystem</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2028–2029</w:t>
            </w:r>
          </w:p>
        </w:tc>
      </w:tr>
    </w:tbl>
    <w:p>
      <w:pPr>
        <w:spacing w:after="100"/>
      </w:pPr>
      <w:r>
        <w:t xml:space="preserve"/>
      </w:r>
    </w:p>
    <w:p>
      <w:pPr>
        <w:pStyle w:val="Heading2"/>
      </w:pPr>
      <w:r>
        <w:t xml:space="preserve">5.3 Phase 3: Market Integration (36–60 Months)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500"/>
        <w:gridCol w:w="2000"/>
      </w:tblGrid>
      <w:tr>
        <w:trPr>
          <w:tblHeader/>
        </w:trPr>
        <w:tc>
          <w:tcPr>
            <w:tcW w:type="dxa" w:w="4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Action</w:t>
            </w:r>
          </w:p>
        </w:tc>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Responsible Actor</w:t>
            </w:r>
          </w:p>
        </w:tc>
        <w:tc>
          <w:tcPr>
            <w:tcW w:type="dxa" w:w="2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Timeline</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Transfer military-grade clean technologies to commercial markets at scale</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Industry; civilian procurement bodies</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2029–2031</w:t>
            </w:r>
          </w:p>
        </w:tc>
      </w:tr>
      <w:tr>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Establish European green defence supply chains — e-fuels, batteries, solar</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EU industrial policy; defence primes</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2029–2031</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Achieve measurable baseline reduction in military operational emissions</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NATO; national defence ministries</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2030–2031</w:t>
            </w:r>
          </w:p>
        </w:tc>
      </w:tr>
      <w:tr>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Publish first independent audit of dual-use technology transfer outcomes</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Independent research institutions</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2030–2031</w:t>
            </w:r>
          </w:p>
        </w:tc>
      </w:tr>
    </w:tbl>
    <w:p>
      <w:pPr>
        <w:spacing w:after="100"/>
      </w:pPr>
      <w:r>
        <w:t xml:space="preserve"/>
      </w:r>
    </w:p>
    <w:p>
      <w:pPr>
        <w:pStyle w:val="Heading2"/>
      </w:pPr>
      <w:r>
        <w:t xml:space="preserve">5.4 The Planetary Boundaries Framework: Measuring What This Paper Proposes</w:t>
      </w:r>
    </w:p>
    <w:p>
      <w:pPr>
        <w:spacing w:after="200" w:line="320"/>
      </w:pPr>
      <w:r>
        <w:rPr>
          <w:rFonts w:ascii="Arial" w:cs="Arial" w:eastAsia="Arial" w:hAnsi="Arial"/>
          <w:sz w:val="22"/>
          <w:szCs w:val="22"/>
        </w:rPr>
        <w:t xml:space="preserve">In 2009, Johan Rockström and colleagues at the Stockholm Resilience Centre proposed a framework of nine planetary boundaries — biophysical processes that regulate the stability of the Earth system, each with a quantified safe operating limit. As of 2023, six of the nine boundaries have been exceeded. This paper’s proposals address, with varying degrees of directness, seven of the nine boundaries. Making these connections explicit transforms the paper from a collection of technology cases into a contribution to the most rigorous framework available for assessing civilisational risk.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3000"/>
        <w:gridCol w:w="1500"/>
      </w:tblGrid>
      <w:tr>
        <w:trPr>
          <w:tblHeader/>
        </w:trPr>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Planetary Boundary</w:t>
            </w:r>
          </w:p>
        </w:tc>
        <w:tc>
          <w:tcPr>
            <w:tcW w:type="dxa" w:w="2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Current Status</w:t>
            </w:r>
          </w:p>
        </w:tc>
        <w:tc>
          <w:tcPr>
            <w:tcW w:type="dxa" w:w="3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How This Paper’s Proposals Contribute</w:t>
            </w:r>
          </w:p>
        </w:tc>
        <w:tc>
          <w:tcPr>
            <w:tcW w:type="dxa" w:w="1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Pathway</w:t>
            </w:r>
          </w:p>
        </w:tc>
      </w:tr>
      <w:tr>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Climate Change (CO₂ concentration; radiative forcing)</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EXCEEDED — 421 ppm CO₂, boundary at 350 ppm</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E-fuels close carbon cycle for aviation/shipping; sodium-ion batteries enable renewable grid; CIGS solar expands generation capacity</w:t>
            </w:r>
          </w:p>
        </w:tc>
        <w:tc>
          <w:tcPr>
            <w:tcW w:type="dxa" w:w="1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PtX chemistry → closed carbon cycle → aviation/shipping decarbonised</w:t>
            </w:r>
          </w:p>
        </w:tc>
      </w:tr>
      <w:tr>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Biosphere Integrity (species extinction rate)</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EXCEEDED — extinction rate 100× background</w:t>
            </w:r>
          </w:p>
        </w:tc>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Military land as refugia for species; Graµfenwöhr model; decommissioned vessels as artificial reefs; rewilding of exclusion zones</w:t>
            </w:r>
          </w:p>
        </w:tc>
        <w:tc>
          <w:tcPr>
            <w:tcW w:type="dxa" w:w="1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Defence land protocols → habitat corridors → species recovery</w:t>
            </w:r>
          </w:p>
        </w:tc>
      </w:tr>
      <w:tr>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Land System Change (forest cover)</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EXCEEDED — deforestation ongoing</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Sustainable forestry for CNF production increases managed forest carbon and biodiversity; bio-composites replace petrochemical materials</w:t>
            </w:r>
          </w:p>
        </w:tc>
        <w:tc>
          <w:tcPr>
            <w:tcW w:type="dxa" w:w="1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Sustainable CNF sourcing → managed forest expansion → carbon + biodiversity</w:t>
            </w:r>
          </w:p>
        </w:tc>
      </w:tr>
      <w:tr>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Freshwater Change (blue water use)</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EXCEEDED as of 2023</w:t>
            </w:r>
          </w:p>
        </w:tc>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Military water purification technology transfer; reduced mining water use from sodium-ion replacing lithium; PFAS remediation restoring groundwater</w:t>
            </w:r>
          </w:p>
        </w:tc>
        <w:tc>
          <w:tcPr>
            <w:tcW w:type="dxa" w:w="1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Remediation chemistry → groundwater restoration → freshwater system integrity</w:t>
            </w:r>
          </w:p>
        </w:tc>
      </w:tr>
      <w:tr>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Biogeochemical Flows (nitrogen cycle)</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EXCEEDED — nitrogen fixation 2× boundary</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Precision agriculture via defence UAV reduces synthetic nitrogen application 20–40%; reduces N₂O emissions and nitrogen runoff</w:t>
            </w:r>
          </w:p>
        </w:tc>
        <w:tc>
          <w:tcPr>
            <w:tcW w:type="dxa" w:w="1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Hyperspectral UAV → precision nitrogen → N₂O reduction + dead zone recovery</w:t>
            </w:r>
          </w:p>
        </w:tc>
      </w:tr>
      <w:tr>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Novel Entities (chemical pollution)</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EXCEEDED — including PFAS</w:t>
            </w:r>
          </w:p>
        </w:tc>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PFAS source elimination; LC-MS/MS remediation monitoring; fluorine-free firefighting foam transition</w:t>
            </w:r>
          </w:p>
        </w:tc>
        <w:tc>
          <w:tcPr>
            <w:tcW w:type="dxa" w:w="1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AFFF replacement → source control → remediation chemistry → groundwater restoration</w:t>
            </w:r>
          </w:p>
        </w:tc>
      </w:tr>
      <w:tr>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Atmospheric Aerosol Loading (regional)</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APPROACHING boundary</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E-fuels reduce particulate emissions; fluorine-free foam eliminates PFAS aerosol; reduced contrail formation from cleaner combustion</w:t>
            </w:r>
          </w:p>
        </w:tc>
        <w:tc>
          <w:tcPr>
            <w:tcW w:type="dxa" w:w="1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Cleaner combustion chemistry → reduced aerosol loading → regional climate effects</w:t>
            </w:r>
          </w:p>
        </w:tc>
      </w:tr>
      <w:tr>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Ocean Acidification</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APPROACHING boundary</w:t>
            </w:r>
          </w:p>
        </w:tc>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E-fuels decarbonise shipping reducing oceanic CO₂ absorption rate; SOSUS acoustic network enables ocean chemistry monitoring</w:t>
            </w:r>
          </w:p>
        </w:tc>
        <w:tc>
          <w:tcPr>
            <w:tcW w:type="dxa" w:w="1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Shipping decarbonisation → slowing acidification rate → marine ecosystem recovery</w:t>
            </w:r>
          </w:p>
        </w:tc>
      </w:tr>
      <w:tr>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Stratospheric Ozone</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RECOVERING — Montreal Protocol success</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Military transition to fluorine-free systems reduces ozone-depleting substance emissions</w:t>
            </w:r>
          </w:p>
        </w:tc>
        <w:tc>
          <w:tcPr>
            <w:tcW w:type="dxa" w:w="1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AFFF elimination → reduced ODS → continued ozone layer recovery</w:t>
            </w:r>
          </w:p>
        </w:tc>
      </w:tr>
    </w:tbl>
    <w:p>
      <w:pPr>
        <w:spacing w:after="100"/>
      </w:pPr>
      <w:r>
        <w:t xml:space="preserve"/>
      </w:r>
    </w:p>
    <w:p>
      <w:pPr>
        <w:spacing w:after="200" w:line="320"/>
      </w:pPr>
      <w:r>
        <w:rPr>
          <w:rFonts w:ascii="Arial" w:cs="Arial" w:eastAsia="Arial" w:hAnsi="Arial"/>
          <w:sz w:val="22"/>
          <w:szCs w:val="22"/>
        </w:rPr>
        <w:t xml:space="preserve">This table is not a claim that the defence sector can single-handedly restore planetary boundaries. It is a demonstration that the specific technologies and practices this paper proposes have direct, traceable connections to the boundaries that define the safe operating space for human civilisation. The planetary boundaries framework provides the scientific architecture that makes these connections rigorous rather than aspirational.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REALISTIC EXPECTATION SETTING</w:t>
            </w:r>
          </w:p>
          <w:p>
            <w:pPr>
              <w:spacing w:line="300"/>
            </w:pPr>
            <w:r>
              <w:rPr>
                <w:rFonts w:ascii="Arial" w:cs="Arial" w:eastAsia="Arial" w:hAnsi="Arial"/>
                <w:i/>
                <w:iCs/>
                <w:sz w:val="22"/>
                <w:szCs w:val="22"/>
              </w:rPr>
              <w:t xml:space="preserve">This roadmap assumes political will to design procurement frameworks that reward dual-use innovation, and regulatory environments that permit technology transfer without compromising security classifications. Neither assumption is guaranteed. Phase 1 actions are within the control of individual governments and are the critical test: if dual-use procurement mandates are established by mid-2027, the subsequent phases become significantly more achievable. If they are not, the market will develop these technologies more slowly and with less civilian spillover.</w:t>
            </w:r>
          </w:p>
        </w:tc>
      </w:tr>
    </w:tbl>
    <w:p>
      <w:pPr>
        <w:pStyle w:val="Heading1"/>
      </w:pPr>
      <w:r>
        <w:t xml:space="preserve">6. The Economic Acceleration: Speed, Jobs, and Value Creation</w:t>
      </w:r>
    </w:p>
    <w:p>
      <w:pPr>
        <w:pStyle w:val="Heading2"/>
      </w:pPr>
      <w:r>
        <w:t xml:space="preserve">6.1 Why Defence Investment Accelerates Faster Than Civilian Investment</w:t>
      </w:r>
    </w:p>
    <w:p>
      <w:pPr>
        <w:spacing w:after="200" w:line="320"/>
      </w:pPr>
      <w:r>
        <w:rPr>
          <w:rFonts w:ascii="Arial" w:cs="Arial" w:eastAsia="Arial" w:hAnsi="Arial"/>
          <w:sz w:val="22"/>
          <w:szCs w:val="22"/>
        </w:rPr>
        <w:t xml:space="preserve">Speed is the dimension of the climate crisis that most civilian technology investment frameworks systematically underestimate. The IPCC’s Sixth Assessment Report identifies 2030 as the critical inflection point: global emissions must fall by approximately 43% from 2019 levels by 2030 to preserve a credible pathway to 1.5°C. That is less than five years from this paper’s publication. Voluntary corporate sustainability commitments and consumer behaviour change cannot move at that speed. Government subsidy programmes move at legislative speed. Defence procurement moves at strategic necessity speed — which is categorically faster.</w:t>
      </w:r>
    </w:p>
    <w:p>
      <w:pPr>
        <w:spacing w:after="200" w:line="320"/>
      </w:pPr>
      <w:r>
        <w:rPr>
          <w:rFonts w:ascii="Arial" w:cs="Arial" w:eastAsia="Arial" w:hAnsi="Arial"/>
          <w:sz w:val="22"/>
          <w:szCs w:val="22"/>
        </w:rPr>
        <w:t xml:space="preserve">The historical evidence is clear. The Manhattan Project took three years from concept to first weapon — not because the physics was simple but because the procurement system removed every normal constraint on speed: cost-benefit analysis, competitive tendering timelines, planning permission, technology readiness thresholds, regulatory approval sequences. The Apollo programme took eight years from Presidential declaration to Moon landing. The development of the Pfizer-BioNTech COVID vaccine under Operation Warp Speed took eleven months from genomic sequence to emergency use authorisation — because the US government used defence-procurement-style advance purchase commitments to de-risk the investment for the private sector.</w:t>
      </w:r>
    </w:p>
    <w:p>
      <w:pPr>
        <w:spacing w:after="200" w:line="320"/>
      </w:pPr>
      <w:r>
        <w:rPr>
          <w:rFonts w:ascii="Arial" w:cs="Arial" w:eastAsia="Arial" w:hAnsi="Arial"/>
          <w:sz w:val="22"/>
          <w:szCs w:val="22"/>
        </w:rPr>
        <w:t xml:space="preserve">The acceleration mechanism is specific: guaranteed procurement contracts at defined volumes and prices collapse the risk premium that slows private investment in clean technology. When Rheinmetall signs a multi-year contract for synthetic fuel supply to the Bundeswehr, the price signal that contract sends to every electrolyser manufacturer, every renewable electricity developer, and every carbon capture company is clearer than any carbon price, subsidy scheme, or regulatory mandate. It says: there is a buyer at scale, at a guaranteed price, for a defined duration. That is what investment banks call “bankable revenue.” Bankable revenue enables debt financing at rates that voluntary ESG commitments cannot access. Lower financing costs accelerate deployment. Faster deployment drives down technology costs through learning-by-doing. The cost reduction drives further adoption. This is the technology S-curve, and defence procurement can jump it to the steep part.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THE SPEED PREMIUM</w:t>
            </w:r>
          </w:p>
          <w:p>
            <w:pPr>
              <w:spacing w:line="300"/>
            </w:pPr>
            <w:r>
              <w:rPr>
                <w:rFonts w:ascii="Arial" w:cs="Arial" w:eastAsia="Arial" w:hAnsi="Arial"/>
                <w:i/>
                <w:iCs/>
                <w:sz w:val="22"/>
                <w:szCs w:val="22"/>
              </w:rPr>
              <w:t xml:space="preserve">Solar photovoltaic costs have fallen 90% since 2010. Battery costs have fallen 97% since 1991. In both cases, the cost reduction was driven primarily by cumulative deployment — not by R&amp;D breakthroughs. Every doubling of cumulative installed capacity reduces unit costs by approximately 20% (the learning rate). Defence procurement of CIGS solar panels, sodium-ion batteries, and e-fuel production systems would accelerate the cumulative deployment that drives these cost reductions, bringing forward the point at which these technologies become cost-competitive without subsidy. The climate benefit of arriving at that point five years earlier rather than five years later is measured in gigatonnes of avoided emissions.</w:t>
            </w:r>
          </w:p>
        </w:tc>
      </w:tr>
    </w:tbl>
    <w:p>
      <w:pPr>
        <w:pStyle w:val="Heading2"/>
      </w:pPr>
      <w:r>
        <w:t xml:space="preserve">6.2 The Jobs Landscape: Sector by Sector</w:t>
      </w:r>
    </w:p>
    <w:p>
      <w:pPr>
        <w:spacing w:after="200" w:line="320"/>
      </w:pPr>
      <w:r>
        <w:rPr>
          <w:rFonts w:ascii="Arial" w:cs="Arial" w:eastAsia="Arial" w:hAnsi="Arial"/>
          <w:sz w:val="22"/>
          <w:szCs w:val="22"/>
        </w:rPr>
        <w:t xml:space="preserve">The employment creation potential of defence-driven clean technology transfer is large, geographically distributed, and — critically — concentrated in the high-skill, high-wage industrial communities that are most at risk from both climate disruption and the decline of conventional defence manufacturing. This is not a coincidence; it is a structural feature of the technology overlap.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600"/>
        <w:gridCol w:w="2000"/>
        <w:gridCol w:w="1800"/>
      </w:tblGrid>
      <w:tr>
        <w:trPr>
          <w:tblHeader/>
        </w:trPr>
        <w:tc>
          <w:tcPr>
            <w:tcW w:type="dxa" w:w="22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Technology Sector</w:t>
            </w:r>
          </w:p>
        </w:tc>
        <w:tc>
          <w:tcPr>
            <w:tcW w:type="dxa" w:w="14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Estimated Jobs by 2030</w:t>
            </w:r>
          </w:p>
        </w:tc>
        <w:tc>
          <w:tcPr>
            <w:tcW w:type="dxa" w:w="16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Job Type</w:t>
            </w:r>
          </w:p>
        </w:tc>
        <w:tc>
          <w:tcPr>
            <w:tcW w:type="dxa" w:w="2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Geographic Concentration</w:t>
            </w:r>
          </w:p>
        </w:tc>
        <w:tc>
          <w:tcPr>
            <w:tcW w:type="dxa" w:w="18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Defence Workforce Overlap</w:t>
            </w:r>
          </w:p>
        </w:tc>
      </w:tr>
      <w:tr>
        <w:tc>
          <w:tcPr>
            <w:tcW w:type="dxa" w:w="22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E-Fuel (PtX) Production</w:t>
            </w:r>
          </w:p>
        </w:tc>
        <w:tc>
          <w:tcPr>
            <w:tcW w:type="dxa" w:w="1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180,000–240,000 (Europe)</w:t>
            </w:r>
          </w:p>
        </w:tc>
        <w:tc>
          <w:tcPr>
            <w:tcW w:type="dxa" w:w="16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Chemical engineers, electrolysis technicians, plant operators, maintenance engineers</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Industrial regions with existing refinery and chemical plant infrastructure (Rhineland, Ruhr, Humberside, Rotterdam)</w:t>
            </w:r>
          </w:p>
        </w:tc>
        <w:tc>
          <w:tcPr>
            <w:tcW w:type="dxa" w:w="1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Very high — direct skills match with propulsion and fuel systems engineers</w:t>
            </w:r>
          </w:p>
        </w:tc>
      </w:tr>
      <w:tr>
        <w:tc>
          <w:tcPr>
            <w:tcW w:type="dxa" w:w="22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Sodium-Ion Battery Manufacturing</w:t>
            </w:r>
          </w:p>
        </w:tc>
        <w:tc>
          <w:tcPr>
            <w:tcW w:type="dxa" w:w="14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120,000–160,000 (Europe)</w:t>
            </w:r>
          </w:p>
        </w:tc>
        <w:tc>
          <w:tcPr>
            <w:tcW w:type="dxa" w:w="16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Materials scientists, electrochemical engineers, battery cell technicians, supply chain managers</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Existing automotive and electronics manufacturing regions (Scandinavia, Poland, Slovakia, northern England)</w:t>
            </w:r>
          </w:p>
        </w:tc>
        <w:tc>
          <w:tcPr>
            <w:tcW w:type="dxa" w:w="1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High — precision manufacturing and quality control skills directly transferable</w:t>
            </w:r>
          </w:p>
        </w:tc>
      </w:tr>
      <w:tr>
        <w:tc>
          <w:tcPr>
            <w:tcW w:type="dxa" w:w="22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CIGS Thin-Film Solar Manufacturing</w:t>
            </w:r>
          </w:p>
        </w:tc>
        <w:tc>
          <w:tcPr>
            <w:tcW w:type="dxa" w:w="1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80,000–110,000 (Europe + Colombia pilot)</w:t>
            </w:r>
          </w:p>
        </w:tc>
        <w:tc>
          <w:tcPr>
            <w:tcW w:type="dxa" w:w="16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Semiconductor technicians, vacuum deposition engineers, panel assembly workers, quality assurance</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Semiconductor and electronics manufacturing clusters; emerging market deployment in Latin America</w:t>
            </w:r>
          </w:p>
        </w:tc>
        <w:tc>
          <w:tcPr>
            <w:tcW w:type="dxa" w:w="1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Moderate — electronics and precision fabrication skills transfer</w:t>
            </w:r>
          </w:p>
        </w:tc>
      </w:tr>
      <w:tr>
        <w:tc>
          <w:tcPr>
            <w:tcW w:type="dxa" w:w="22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Cellulose Nanofiber and Bio-Composite Production</w:t>
            </w:r>
          </w:p>
        </w:tc>
        <w:tc>
          <w:tcPr>
            <w:tcW w:type="dxa" w:w="14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60,000–90,000 (global)</w:t>
            </w:r>
          </w:p>
        </w:tc>
        <w:tc>
          <w:tcPr>
            <w:tcW w:type="dxa" w:w="16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Forest engineers, pulp mill chemists, materials scientists, composite fabricators</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Boreal forest regions (Scandinavia, Finland, Canada); rural forestry-dependent communities</w:t>
            </w:r>
          </w:p>
        </w:tc>
        <w:tc>
          <w:tcPr>
            <w:tcW w:type="dxa" w:w="1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Moderate — materials testing and composite manufacturing skills transfer</w:t>
            </w:r>
          </w:p>
        </w:tc>
      </w:tr>
      <w:tr>
        <w:tc>
          <w:tcPr>
            <w:tcW w:type="dxa" w:w="22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Military Land Conservation and Rewilding</w:t>
            </w:r>
          </w:p>
        </w:tc>
        <w:tc>
          <w:tcPr>
            <w:tcW w:type="dxa" w:w="1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25,000–40,000 (NATO countries)</w:t>
            </w:r>
          </w:p>
        </w:tc>
        <w:tc>
          <w:tcPr>
            <w:tcW w:type="dxa" w:w="16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Ecologists, conservation managers, soil scientists, habitat surveyors, restoration practitioners</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Rural and semi-rural areas adjacent to military bases — often economically marginalised</w:t>
            </w:r>
          </w:p>
        </w:tc>
        <w:tc>
          <w:tcPr>
            <w:tcW w:type="dxa" w:w="1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Low direct overlap, but significant for Just Transition in defence-adjacent communities</w:t>
            </w:r>
          </w:p>
        </w:tc>
      </w:tr>
      <w:tr>
        <w:tc>
          <w:tcPr>
            <w:tcW w:type="dxa" w:w="22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Dual-Use Satellite and Earth Observation</w:t>
            </w:r>
          </w:p>
        </w:tc>
        <w:tc>
          <w:tcPr>
            <w:tcW w:type="dxa" w:w="14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35,000–50,000 (global)</w:t>
            </w:r>
          </w:p>
        </w:tc>
        <w:tc>
          <w:tcPr>
            <w:tcW w:type="dxa" w:w="16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Satellite engineers, data scientists, climate analysts, software developers, ground station operators</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Space industry clusters (Toulouse, Bremen, Glasgow, Houston) and emerging space nations</w:t>
            </w:r>
          </w:p>
        </w:tc>
        <w:tc>
          <w:tcPr>
            <w:tcW w:type="dxa" w:w="1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High — aerospace and systems engineering skills directly applicable</w:t>
            </w:r>
          </w:p>
        </w:tc>
      </w:tr>
      <w:tr>
        <w:tc>
          <w:tcPr>
            <w:tcW w:type="dxa" w:w="22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Precision Agriculture UAV Systems</w:t>
            </w:r>
          </w:p>
        </w:tc>
        <w:tc>
          <w:tcPr>
            <w:tcW w:type="dxa" w:w="1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90,000–130,000 (global)</w:t>
            </w:r>
          </w:p>
        </w:tc>
        <w:tc>
          <w:tcPr>
            <w:tcW w:type="dxa" w:w="16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UAV pilots, remote sensing analysts, agronomists, AI engineers, maintenance technicians</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Agricultural regions globally — significant emerging market opportunity in South Asia and Sub-Saharan Africa</w:t>
            </w:r>
          </w:p>
        </w:tc>
        <w:tc>
          <w:tcPr>
            <w:tcW w:type="dxa" w:w="1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High — UAV operation and maintenance, sensor systems, AI integration skills</w:t>
            </w:r>
          </w:p>
        </w:tc>
      </w:tr>
    </w:tbl>
    <w:p>
      <w:pPr>
        <w:spacing w:after="100"/>
      </w:pPr>
      <w:r>
        <w:t xml:space="preserve"/>
      </w:r>
    </w:p>
    <w:p>
      <w:pPr>
        <w:spacing w:after="200" w:line="320"/>
      </w:pPr>
      <w:r>
        <w:rPr>
          <w:rFonts w:ascii="Arial" w:cs="Arial" w:eastAsia="Arial" w:hAnsi="Arial"/>
          <w:sz w:val="22"/>
          <w:szCs w:val="22"/>
        </w:rPr>
        <w:t xml:space="preserve">These figures are conservative estimates derived from published market size projections, average revenue-per-employee ratios in comparable advanced manufacturing sectors, and government employment multiplier analyses. They represent direct employment only; indirect and induced employment (supply chain, services, construction) typically multiply direct employment by a factor of 2.5–3.5 in advanced manufacturing contexts. The total employment creation potential across these sectors, including multiplier effects, exceeds 1.5 million jobs in Europe alone by 2030.</w:t>
      </w:r>
    </w:p>
    <w:p>
      <w:pPr>
        <w:pStyle w:val="Heading2"/>
      </w:pPr>
      <w:r>
        <w:t xml:space="preserve">6.3 The Just Transition Imperative: Defence Communities First</w:t>
      </w:r>
    </w:p>
    <w:p>
      <w:pPr>
        <w:spacing w:after="200" w:line="320"/>
      </w:pPr>
      <w:r>
        <w:rPr>
          <w:rFonts w:ascii="Arial" w:cs="Arial" w:eastAsia="Arial" w:hAnsi="Arial"/>
          <w:sz w:val="22"/>
          <w:szCs w:val="22"/>
        </w:rPr>
        <w:t xml:space="preserve">The concept of “just transition” — ensuring that the costs and benefits of economic transformation are distributed equitably, and that workers and communities dependent on carbon-intensive industries are not left behind — has been discussed extensively in the context of coal mining and fossil fuel extraction. It is almost entirely absent from the defence manufacturing context, despite the fact that defence-to-clean-energy conversion represents the most structurally favourable just transition opportunity available.</w:t>
      </w:r>
    </w:p>
    <w:p>
      <w:pPr>
        <w:spacing w:after="200" w:line="320"/>
      </w:pPr>
      <w:r>
        <w:rPr>
          <w:rFonts w:ascii="Arial" w:cs="Arial" w:eastAsia="Arial" w:hAnsi="Arial"/>
          <w:sz w:val="22"/>
          <w:szCs w:val="22"/>
        </w:rPr>
        <w:t xml:space="preserve">Consider the skills overlap. A propulsion systems engineer at Rheinmetall has deep expertise in thermodynamics, fluid dynamics, combustion chemistry, and high-tolerance manufacturing. These are precisely the skills required to design, build, and operate a Power-to-X e-fuel production facility. A precision machinist building Howitzer components has the tolerance, quality control, and materials handling skills required for battery cell manufacturing. A naval architect designing submarine pressure hulls has the structural engineering and advanced materials knowledge required for wind turbine tower and offshore platform design. The conversion is not from unskilled to skilled work; it is from one application of the same skills to another application of the same skills.</w:t>
      </w:r>
    </w:p>
    <w:p>
      <w:pPr>
        <w:spacing w:after="200" w:line="320"/>
      </w:pPr>
      <w:r>
        <w:rPr>
          <w:rFonts w:ascii="Arial" w:cs="Arial" w:eastAsia="Arial" w:hAnsi="Arial"/>
          <w:sz w:val="22"/>
          <w:szCs w:val="22"/>
        </w:rPr>
        <w:t xml:space="preserve">The Costs of War Project’s survey of defence workers found that a majority express genuine concern about climate change and that most “enthusiastically embrace the transition to sustainability” when retraining pathways are made explicit and secure. This is not surprising: the same engineering culture that takes pride in building systems that work under extreme conditions is well-suited to the technical demands of clean energy infrastructure. What defence workers require is not motivation; it is structured pathways, income security during transition, and the credible signal that the new industries being built will be as durable as the defence contracts they are replacing.</w:t>
      </w:r>
    </w:p>
    <w:p>
      <w:pPr>
        <w:spacing w:after="200" w:line="320"/>
      </w:pPr>
      <w:r>
        <w:rPr>
          <w:rFonts w:ascii="Arial" w:cs="Arial" w:eastAsia="Arial" w:hAnsi="Arial"/>
          <w:sz w:val="22"/>
          <w:szCs w:val="22"/>
        </w:rPr>
        <w:t xml:space="preserve">The CALSTART model provides the template at facility level. The post-Cold War closure of Lockheed’s Burbank facility was initially a community catastrophe: 28,000 direct jobs lost in a single county. CALSTART’s conversion programme retained the facility, retained the engineering talent, and redirected output to electric vehicle innovation. Within a decade, the same facility and a substantial proportion of the same workforce were producing technology that became foundational to the civilian EV sector. The lesson generalises: the physical infrastructure, engineering culture, and skilled workforce of a defence manufacturing facility are assets, not liabilities, in a clean energy transition.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THE CONVERSION ARITHMETIC</w:t>
            </w:r>
          </w:p>
          <w:p>
            <w:pPr>
              <w:spacing w:line="300"/>
            </w:pPr>
            <w:r>
              <w:rPr>
                <w:rFonts w:ascii="Arial" w:cs="Arial" w:eastAsia="Arial" w:hAnsi="Arial"/>
                <w:i/>
                <w:iCs/>
                <w:sz w:val="22"/>
                <w:szCs w:val="22"/>
              </w:rPr>
              <w:t xml:space="preserve">A Rheinmetall propulsion facility employing 800 engineers and 2,000 technicians that converts from diesel engine to Power-to-X e-fuel production does not lose those jobs. It transforms them. The chemistry and engineering expertise required to optimise combustion in a diesel engine is not identical to the chemistry required to optimise Fischer-Tropsch synthesis — but it is close enough that retraining takes months, not years. Defence governments that fund retraining programmes rather than redundancy packages spend less money and retain more human capital. This is not idealism; it is workforce economics.</w:t>
            </w:r>
          </w:p>
        </w:tc>
      </w:tr>
    </w:tbl>
    <w:p>
      <w:pPr>
        <w:pStyle w:val="Heading2"/>
      </w:pPr>
      <w:r>
        <w:t xml:space="preserve">6.4 Economic Multipliers: How Each Technology Compounds</w:t>
      </w:r>
    </w:p>
    <w:p>
      <w:pPr>
        <w:spacing w:after="200" w:line="320"/>
      </w:pPr>
      <w:r>
        <w:rPr>
          <w:rFonts w:ascii="Arial" w:cs="Arial" w:eastAsia="Arial" w:hAnsi="Arial"/>
          <w:sz w:val="22"/>
          <w:szCs w:val="22"/>
        </w:rPr>
        <w:t xml:space="preserve">The economic value of defence-driven clean technology transfer extends well beyond the direct market sizes in Section 3.3. Each technology creates economic value through multiple channels that compound over time.</w:t>
      </w:r>
    </w:p>
    <w:p>
      <w:pPr>
        <w:spacing w:after="200" w:line="320"/>
      </w:pPr>
      <w:r>
        <w:rPr>
          <w:rFonts w:ascii="Arial" w:cs="Arial" w:eastAsia="Arial" w:hAnsi="Arial"/>
          <w:b/>
          <w:bCs/>
          <w:sz w:val="22"/>
          <w:szCs w:val="22"/>
        </w:rPr>
        <w:t xml:space="preserve">E-Fuels: The Energy Independence Premium</w:t>
      </w:r>
    </w:p>
    <w:p>
      <w:pPr>
        <w:spacing w:after="200" w:line="320"/>
      </w:pPr>
      <w:r>
        <w:rPr>
          <w:rFonts w:ascii="Arial" w:cs="Arial" w:eastAsia="Arial" w:hAnsi="Arial"/>
          <w:sz w:val="22"/>
          <w:szCs w:val="22"/>
        </w:rPr>
        <w:t xml:space="preserve">The economic case for e-fuels begins with energy independence. Germany spent approximately €100 billion on fossil fuel imports in 2022, a figure that spiked dramatically following Russia’s invasion of Ukraine. Domestically produced synthetic fuels, made from German renewable electricity and atmospheric CO₂, would replace this import bill with domestic economic activity: electricity generation, electrolysis plant operation, CO₂ capture, fuel synthesis, and distribution — all employing German workers and German capital. The energy security premium alone — the reduction in exposure to geopolitical price shocks — is estimated at 15–20% of the total e-fuel production cost, meaning that e-fuels become cost-competitive with fossil imports at lower production scale than headline cost comparisons suggest.</w:t>
      </w:r>
    </w:p>
    <w:p>
      <w:pPr>
        <w:spacing w:after="200" w:line="320"/>
      </w:pPr>
      <w:r>
        <w:rPr>
          <w:rFonts w:ascii="Arial" w:cs="Arial" w:eastAsia="Arial" w:hAnsi="Arial"/>
          <w:sz w:val="22"/>
          <w:szCs w:val="22"/>
        </w:rPr>
        <w:t xml:space="preserve">The learning curve economics are compelling. E-fuel production currently costs approximately €2–4 per litre of jet fuel equivalent, compared to €0.60–0.80 for fossil jet fuel. At current learning rates for electrolysis (18% cost reduction per doubling of cumulative capacity) and assuming deployment driven in part by military procurement contracts, e-fuel costs are projected to fall below €1.00 per litre by 2035 and approach fossil fuel cost parity by 2040 under favourable renewable electricity pricing. The military procurement commitment creates the cumulative capacity that drives the learning curve; the civilian aviation and shipping sectors inherit the cost benefit.</w:t>
      </w:r>
    </w:p>
    <w:p>
      <w:pPr>
        <w:spacing w:after="200" w:line="320"/>
      </w:pPr>
      <w:r>
        <w:rPr>
          <w:rFonts w:ascii="Arial" w:cs="Arial" w:eastAsia="Arial" w:hAnsi="Arial"/>
          <w:b/>
          <w:bCs/>
          <w:sz w:val="22"/>
          <w:szCs w:val="22"/>
        </w:rPr>
        <w:t xml:space="preserve">Sodium-Ion Batteries: The Critical Mineral Liberation Dividend</w:t>
      </w:r>
    </w:p>
    <w:p>
      <w:pPr>
        <w:spacing w:after="200" w:line="320"/>
      </w:pPr>
      <w:r>
        <w:rPr>
          <w:rFonts w:ascii="Arial" w:cs="Arial" w:eastAsia="Arial" w:hAnsi="Arial"/>
          <w:sz w:val="22"/>
          <w:szCs w:val="22"/>
        </w:rPr>
        <w:t xml:space="preserve">The economic value of eliminating lithium and cobalt dependency extends far beyond the battery market itself. The Democratic Republic of Congo controls approximately 70% of global cobalt supply; China controls approximately 80% of cobalt refining capacity and 60% of lithium processing. The strategic vulnerability this creates is valued at approximately US$200–400 billion in supply chain risk insurance across global battery supply chains — a cost that manifests as supply chain redundancy investment, inventory buffers, political risk premiums, and the military expenditure devoted to securing access to critical mineral regions. Sodium-ion batteries eliminate this entire category of cost and risk. The economic dividend is not captured in battery market size figures; it is distributed across the supply chains, financial systems, and military budgets of every economy currently dependent on Chinese critical mineral processing.</w:t>
      </w:r>
    </w:p>
    <w:p>
      <w:pPr>
        <w:spacing w:after="200" w:line="320"/>
      </w:pPr>
      <w:r>
        <w:rPr>
          <w:rFonts w:ascii="Arial" w:cs="Arial" w:eastAsia="Arial" w:hAnsi="Arial"/>
          <w:b/>
          <w:bCs/>
          <w:sz w:val="22"/>
          <w:szCs w:val="22"/>
        </w:rPr>
        <w:t xml:space="preserve">Precision Agriculture: The Yield-Emissions Decoupling</w:t>
      </w:r>
    </w:p>
    <w:p>
      <w:pPr>
        <w:spacing w:after="200" w:line="320"/>
      </w:pPr>
      <w:r>
        <w:rPr>
          <w:rFonts w:ascii="Arial" w:cs="Arial" w:eastAsia="Arial" w:hAnsi="Arial"/>
          <w:sz w:val="22"/>
          <w:szCs w:val="22"/>
        </w:rPr>
        <w:t xml:space="preserve">Global agricultural output must increase by approximately 50–70% by 2050 to feed a population of 9–10 billion, while simultaneously reducing agriculture’s contribution to greenhouse gas emissions (currently approximately 10–12% of global GHG). These objectives appear contradictory until precision agriculture dissolves the apparent trade-off. Defence-derived hyperspectral sensing and AI-driven variable-rate application systems can increase crop yields by 8–15% while simultaneously reducing nitrogen fertiliser use by 20–40%, water use by 20–30%, and pesticide use by 15–25%. The economic value of this yield-emissions decoupling, applied at global scale across approximately 1.4 billion hectares of cropland, is estimated at US$200–500 billion annually in avoided input costs, reduced environmental externalities, and enhanced food security. This is economic value created by applying military sensing technology to plant physiology — a connection that would not be obvious without the dual-use lens this paper provides.</w:t>
      </w:r>
    </w:p>
    <w:p>
      <w:pPr>
        <w:spacing w:after="200" w:line="320"/>
      </w:pPr>
      <w:r>
        <w:rPr>
          <w:rFonts w:ascii="Arial" w:cs="Arial" w:eastAsia="Arial" w:hAnsi="Arial"/>
          <w:b/>
          <w:bCs/>
          <w:sz w:val="22"/>
          <w:szCs w:val="22"/>
        </w:rPr>
        <w:t xml:space="preserve">Military Land as Natural Capital</w:t>
      </w:r>
    </w:p>
    <w:p>
      <w:pPr>
        <w:spacing w:after="200" w:line="320"/>
      </w:pPr>
      <w:r>
        <w:rPr>
          <w:rFonts w:ascii="Arial" w:cs="Arial" w:eastAsia="Arial" w:hAnsi="Arial"/>
          <w:sz w:val="22"/>
          <w:szCs w:val="22"/>
        </w:rPr>
        <w:t xml:space="preserve">The 11 million acres of US DoD land and equivalent holdings across NATO militaries represent natural capital that has never been valued on any balance sheet. If military exclusion zones, heathlands, grasslands, and forests were valued as ecosystem services — carbon sequestration, biodiversity habitat, water regulation, air quality — using the methodologies of natural capital accounting (Costanza et al., the TEEB initiative, the UK Natural Capital Committee’s work), the aggregate value would be in the hundreds of billions of dollars annually. This value is currently uncaptured and unrecognised. Establishing payment-for-ecosystem-services frameworks on military land — where the defence department receives carbon credits, biodiversity net gain units, or water quality payments for managing its land to ecological standards — would create revenue streams that partially offset defence operational costs while creating the ecological monitoring, management, and restoration jobs described in Section 6.2.</w:t>
      </w:r>
    </w:p>
    <w:p>
      <w:pPr>
        <w:pStyle w:val="Heading2"/>
      </w:pPr>
      <w:r>
        <w:t xml:space="preserve">6.5 The Emerging Market Opportunity: Where Speed and Scale Meet Need</w:t>
      </w:r>
    </w:p>
    <w:p>
      <w:pPr>
        <w:spacing w:after="200" w:line="320"/>
      </w:pPr>
      <w:r>
        <w:rPr>
          <w:rFonts w:ascii="Arial" w:cs="Arial" w:eastAsia="Arial" w:hAnsi="Arial"/>
          <w:sz w:val="22"/>
          <w:szCs w:val="22"/>
        </w:rPr>
        <w:t xml:space="preserve">The economic analysis so far has focused primarily on European and NATO contexts. The most significant economic opportunity — and the most urgent human need — is in emerging markets. The countries that have contributed least to historical emissions are experiencing the most severe climate impacts, have the fastest-growing populations, and have the largest unmet need for clean energy, clean water, and climate-resilient food systems.</w:t>
      </w:r>
    </w:p>
    <w:p>
      <w:pPr>
        <w:spacing w:after="200" w:line="320"/>
      </w:pPr>
      <w:r>
        <w:rPr>
          <w:rFonts w:ascii="Arial" w:cs="Arial" w:eastAsia="Arial" w:hAnsi="Arial"/>
          <w:sz w:val="22"/>
          <w:szCs w:val="22"/>
        </w:rPr>
        <w:t xml:space="preserve">Defence-derived clean technology has a specific advantage in emerging market deployment: it has already been designed and tested for austere conditions, unreliable infrastructure, extreme temperatures, and supply chain independence. Military-grade water purification systems function in locations where grid power is unavailable and chemical supply chains are disrupted. Military-derived CIGS solar panels on flexible substrates can be deployed on curved and irregular surfaces in buildings not designed for solar integration. Military-grade sodium-ion battery systems, designed for extreme temperature performance, outperform lithium-ion in the heat stress conditions that characterise emerging market deployment environments.</w:t>
      </w:r>
    </w:p>
    <w:p>
      <w:pPr>
        <w:spacing w:after="200" w:line="320"/>
      </w:pPr>
      <w:r>
        <w:rPr>
          <w:rFonts w:ascii="Arial" w:cs="Arial" w:eastAsia="Arial" w:hAnsi="Arial"/>
          <w:sz w:val="22"/>
          <w:szCs w:val="22"/>
        </w:rPr>
        <w:t xml:space="preserve">The Saab-Midsummer CIGS solar factory in Colombia is the proof of concept: defence offset requirements creating renewable energy manufacturing capacity in an emerging market, building local industrial capability, creating local employment, and establishing a supply chain that can serve regional demand at lower cost than import-dependent alternatives. The economic model is scalable: every defence export contract above a defined threshold could include a mandatory technology transfer and local manufacturing component — defence offsets restructured as clean technology industrialisation programmes.</w:t>
      </w:r>
    </w:p>
    <w:p>
      <w:pPr>
        <w:spacing w:after="200" w:line="320"/>
      </w:pPr>
      <w:r>
        <w:rPr>
          <w:rFonts w:ascii="Arial" w:cs="Arial" w:eastAsia="Arial" w:hAnsi="Arial"/>
          <w:sz w:val="22"/>
          <w:szCs w:val="22"/>
        </w:rPr>
        <w:t xml:space="preserve">India alone presents an opportunity of extraordinary scale. India’s defence procurement budget is approximately US$70 billion annually; the country has ambitious renewable energy targets (500 GW of non-fossil capacity by 2030); it has a rapidly growing precision agriculture sector; and it is the world’s largest importer of edible oils, with approximately 60 million hectares of cropland that would benefit from precision nutrient management. Structuring India’s defence procurement relationships to include dual-use technology transfer in batteries, solar manufacturing, precision agriculture UAVs, and e-fuel production would simultaneously advance India’s security, economic development, climate, and food security objectives — while creating export markets for European and US clean technology that dwarf the current civilian clean tech trade.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THE EMERGING MARKET MULTIPLIER</w:t>
            </w:r>
          </w:p>
          <w:p>
            <w:pPr>
              <w:spacing w:line="300"/>
            </w:pPr>
            <w:r>
              <w:rPr>
                <w:rFonts w:ascii="Arial" w:cs="Arial" w:eastAsia="Arial" w:hAnsi="Arial"/>
                <w:i/>
                <w:iCs/>
                <w:sz w:val="22"/>
                <w:szCs w:val="22"/>
              </w:rPr>
              <w:t xml:space="preserve">When a defence technology contract creates a solar panel factory in Colombia, a battery manufacturing facility in India, or a precision agriculture UAV training programme in sub-Saharan Africa, it is not charity and it is not aid. It is industrial policy using defence procurement leverage to create the manufacturing capacity that these economies need and that accelerates global clean technology deployment. The economic multiplier in emerging markets — where manufacturing capacity is scarcer and marginal returns to investment higher — exceeds that in developed economies by a factor of 2–3. This is where the arithmetic of the climate transition gets genuinely exciting.</w:t>
            </w:r>
          </w:p>
        </w:tc>
      </w:tr>
    </w:tbl>
    <w:p>
      <w:pPr>
        <w:pStyle w:val="Heading1"/>
      </w:pPr>
      <w:r>
        <w:t xml:space="preserve">7. Artificial Intelligence: The Greatest Enabler</w:t>
      </w:r>
    </w:p>
    <w:p>
      <w:pPr>
        <w:pStyle w:val="Heading2"/>
      </w:pPr>
      <w:r>
        <w:t xml:space="preserve">7.1 The Compression Principle: AI Shrinks the Timeline</w:t>
      </w:r>
    </w:p>
    <w:p>
      <w:pPr>
        <w:spacing w:after="200" w:line="320"/>
      </w:pPr>
      <w:r>
        <w:rPr>
          <w:rFonts w:ascii="Arial" w:cs="Arial" w:eastAsia="Arial" w:hAnsi="Arial"/>
          <w:sz w:val="22"/>
          <w:szCs w:val="22"/>
        </w:rPr>
        <w:t xml:space="preserve">The defining constraint of the climate transition is not capital, not political will, and not technology — in isolation. It is the rate at which technology can be discovered, validated, manufactured at scale, and deployed globally. Every one of these steps has historically taken years to decades. Artificial intelligence is systematically compressing each step, not by a marginal percentage but by an order of magnitude. That compression is the most important development in the economics of the climate transition, and it has been largely overlooked in climate policy discussions because it is happening primarily inside defence, pharmaceutical, and semiconductor laboratories rather than in the environmental science literature.</w:t>
      </w:r>
    </w:p>
    <w:p>
      <w:pPr>
        <w:spacing w:after="200" w:line="320"/>
      </w:pPr>
      <w:r>
        <w:rPr>
          <w:rFonts w:ascii="Arial" w:cs="Arial" w:eastAsia="Arial" w:hAnsi="Arial"/>
          <w:sz w:val="22"/>
          <w:szCs w:val="22"/>
        </w:rPr>
        <w:t xml:space="preserve">The evidence for AI’s compression effect is concrete. AlphaFold 2, DeepMind’s protein structure prediction system, solved a problem that had resisted 50 years of structural biology research in a matter of months — predicting the three-dimensional structure of virtually every known protein with accuracy matching X-ray crystallography. In 2023, DeepMind’s GNoME (Graph Networks for Materials Exploration) identified 2.2 million new stable crystal structures, including over 380,000 materials considered most promising for technological applications — among them hundreds of candidate battery cathode materials, hydrogen storage compounds, and photovoltaic absorbers. The experimental validation of these materials is ongoing, but the discovery pipeline that previously took decades of laboratory synthesis and trial-and-error has been replaced by a computational screening process that operates at a speed no human research programme can match.</w:t>
      </w:r>
    </w:p>
    <w:p>
      <w:pPr>
        <w:spacing w:after="200" w:line="320"/>
      </w:pPr>
      <w:r>
        <w:rPr>
          <w:rFonts w:ascii="Arial" w:cs="Arial" w:eastAsia="Arial" w:hAnsi="Arial"/>
          <w:sz w:val="22"/>
          <w:szCs w:val="22"/>
        </w:rPr>
        <w:t xml:space="preserve">This compression principle applies across every technology domain in this paper. E-fuel catalyst optimisation that previously required years of experimental chemistry can now be screened computationally in days. Battery electrolyte formulations that required thousands of laboratory experiments to optimise can be predicted by molecular dynamics simulations in hours. Bio-composite material properties that required destructive physical testing to characterise can be predicted from molecular structure using machine learning models trained on existing experimental datasets. The technology S-curve described in Section 6.1 becomes steeper still when AI compresses not just the deployment phase but the discovery and validation phases that precede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THE ORDER OF MAGNITUDE</w:t>
            </w:r>
          </w:p>
          <w:p>
            <w:pPr>
              <w:spacing w:line="300"/>
            </w:pPr>
            <w:r>
              <w:rPr>
                <w:rFonts w:ascii="Arial" w:cs="Arial" w:eastAsia="Arial" w:hAnsi="Arial"/>
                <w:i/>
                <w:iCs/>
                <w:sz w:val="22"/>
                <w:szCs w:val="22"/>
              </w:rPr>
              <w:t xml:space="preserve">Human chemists typically synthesise and test approximately 10–50 new compounds per year. AI-driven virtual screening can evaluate millions of candidate molecules per day against target properties. The ratio is not 2:1 or 10:1; it is 10,000:1 or higher. When this capability is directed at the materials and chemistry problems of the climate transition — better catalysts, better electrolytes, better photovoltaic absorbers, better bio-composite formulations — the discovery timeline compression is not incremental. It is transformative.</w:t>
            </w:r>
          </w:p>
        </w:tc>
      </w:tr>
    </w:tbl>
    <w:p>
      <w:pPr>
        <w:pStyle w:val="Heading2"/>
      </w:pPr>
      <w:r>
        <w:t xml:space="preserve">7.2 AI in the Chemistry of Clean Energy</w:t>
      </w:r>
    </w:p>
    <w:p>
      <w:pPr>
        <w:spacing w:after="200" w:line="320"/>
      </w:pPr>
      <w:r>
        <w:rPr>
          <w:rFonts w:ascii="Arial" w:cs="Arial" w:eastAsia="Arial" w:hAnsi="Arial"/>
          <w:sz w:val="22"/>
          <w:szCs w:val="22"/>
        </w:rPr>
        <w:t xml:space="preserve">Every stage of the e-fuel production chain described in Section 1.3 can be optimised by AI, and in several cases already is. The electrolysis step — splitting water into hydrogen and oxygen using renewable electricity — operates at approximately 60–80% electrical efficiency in current proton exchange membrane (PEM) electrolysers. The limiting factor is membrane degradation: over time, the Nafion membrane separating anode and cathode degrades through chemical attack by reactive oxygen species, mechanical stress from pressure differentials, and contamination by trace metal ions. AI-driven monitoring systems, using impedance spectroscopy and electrochemical signal analysis, can detect early-stage membrane degradation before it causes efficiency loss or failure — extending membrane lifetime and reducing maintenance costs by 30–50%.</w:t>
      </w:r>
    </w:p>
    <w:p>
      <w:pPr>
        <w:spacing w:after="200" w:line="320"/>
      </w:pPr>
      <w:r>
        <w:rPr>
          <w:rFonts w:ascii="Arial" w:cs="Arial" w:eastAsia="Arial" w:hAnsi="Arial"/>
          <w:sz w:val="22"/>
          <w:szCs w:val="22"/>
        </w:rPr>
        <w:t xml:space="preserve">The Fischer-Tropsch synthesis step — converting hydrogen and CO₂ into hydrocarbon fuels over a metal catalyst (typically iron or cobalt) — involves a complex network of competing surface reactions whose selectivity determines whether the output is primarily short-chain gases (methane, ethane), liquid fuels (diesel, jet fuel), or waxes. The catalyst surface chemistry is extraordinarily complex: adsorption energies of CO, H, and intermediate species on the catalyst surface, chain growth probabilities, deactivation mechanisms from carbon deposition and sintering all interact nonlinearly. AI models trained on experimental and computational datasets can predict optimal catalyst compositions and operating conditions (temperature, pressure, H₂:CO ratio) for target product distributions with accuracy that exceeds conventional empirical optimisation. The practical result is higher selectivity for jet fuel and diesel fractions, lower methane selectivity (methane cannot be used as a drop-in liquid fuel), and catalyst lifetimes extended through AI-optimised regeneration protocols.</w:t>
      </w:r>
    </w:p>
    <w:p>
      <w:pPr>
        <w:spacing w:after="200" w:line="320"/>
      </w:pPr>
      <w:r>
        <w:rPr>
          <w:rFonts w:ascii="Arial" w:cs="Arial" w:eastAsia="Arial" w:hAnsi="Arial"/>
          <w:sz w:val="22"/>
          <w:szCs w:val="22"/>
        </w:rPr>
        <w:t xml:space="preserve">In battery chemistry, AI is accelerating the development of sodium-ion electrolyte formulations — the liquid or solid medium that conducts sodium ions between anode and cathode. The electrolyte must simultaneously provide high ionic conductivity (low internal resistance), be electrochemically stable across the full voltage window of the cell, be non-flammable (particularly critical for military applications), and not decompose to form resistive solid electrolyte interphase (SEI) layers that reduce capacity over cycles. These requirements pull in contradictory directions — high ionic conductivity often correlates with lower electrochemical stability — and finding formulations that balance them is a multi-dimensional optimisation problem ideally suited to machine learning. Altris’s work on sodium-ion chemistry is benefiting from the same computational screening platforms that have accelerated lithium-ion electrolyte development by an estimated 3–5 years relative to purely experimental approaches.</w:t>
      </w:r>
    </w:p>
    <w:p>
      <w:pPr>
        <w:pStyle w:val="Heading2"/>
      </w:pPr>
      <w:r>
        <w:t xml:space="preserve">7.3 AI in Earth Systems Science: Seeing What Humans Cannot</w:t>
      </w:r>
    </w:p>
    <w:p>
      <w:pPr>
        <w:spacing w:after="200" w:line="320"/>
      </w:pPr>
      <w:r>
        <w:rPr>
          <w:rFonts w:ascii="Arial" w:cs="Arial" w:eastAsia="Arial" w:hAnsi="Arial"/>
          <w:sz w:val="22"/>
          <w:szCs w:val="22"/>
        </w:rPr>
        <w:t xml:space="preserve">The volume of Earth observation data generated annually now exceeds humanity’s capacity to analyse it through conventional methods. The European Space Agency’s Sentinel satellite constellation generates approximately 20 terabytes of data per day. NASA’s Earth Observing System produces comparable volumes. The US Navy’s SOSUS passive acoustic network generates continuous audio streams from thousands of hydrophones across all major ocean basins. Civilian scientific analysis can process a small fraction of this data; the remainder is archived, analysed selectively, or simply discarded. AI changes this arithmetic fundamentally.</w:t>
      </w:r>
    </w:p>
    <w:p>
      <w:pPr>
        <w:spacing w:after="200" w:line="320"/>
      </w:pPr>
      <w:r>
        <w:rPr>
          <w:rFonts w:ascii="Arial" w:cs="Arial" w:eastAsia="Arial" w:hAnsi="Arial"/>
          <w:sz w:val="22"/>
          <w:szCs w:val="22"/>
        </w:rPr>
        <w:t xml:space="preserve">Convolutional neural networks trained on Sentinel-2 multispectral imagery can classify land cover type, detect deforestation events, monitor crop health, and identify wildfire scars at 10-metre resolution across entire continents automatically and continuously. Change detection algorithms identify anomalies — a new clearing in the Amazon, a bleaching event on the Great Barrier Reef, a methane plume above a landfill or pipeline leak — within hours of satellite overpass. The Muon Space wildfire detection constellation described in Section 2.1 uses exactly this capability: AI processing multispectral thermal imagery to detect heat signatures consistent with active fire at scales and speeds impossible with human analysts.</w:t>
      </w:r>
    </w:p>
    <w:p>
      <w:pPr>
        <w:spacing w:after="200" w:line="320"/>
      </w:pPr>
      <w:r>
        <w:rPr>
          <w:rFonts w:ascii="Arial" w:cs="Arial" w:eastAsia="Arial" w:hAnsi="Arial"/>
          <w:sz w:val="22"/>
          <w:szCs w:val="22"/>
        </w:rPr>
        <w:t xml:space="preserve">In climate modelling, AI is addressing one of the most persistent limitations of general circulation models: computational resolution. Global climate models (GCMs) currently operate at horizontal resolutions of approximately 25–100 kilometres — sufficient for global-scale dynamics but too coarse to resolve the local weather events, convective systems, and topographic effects that determine actual climate impacts at the scale of farms, cities, and watersheds. Statistical downscaling using machine learning — training neural networks to predict local-scale climate variables from coarse-resolution model output, conditioned on topography, land cover, and observed historical relationships — effectively multiplies the resolution of climate projections by a factor of 10 to 100, making them actionable for local adaptation planning without requiring the computational resources of a higher-resolution global model.</w:t>
      </w:r>
    </w:p>
    <w:p>
      <w:pPr>
        <w:spacing w:after="200" w:line="320"/>
      </w:pPr>
      <w:r>
        <w:rPr>
          <w:rFonts w:ascii="Arial" w:cs="Arial" w:eastAsia="Arial" w:hAnsi="Arial"/>
          <w:sz w:val="22"/>
          <w:szCs w:val="22"/>
        </w:rPr>
        <w:t xml:space="preserve">Permafrost monitoring — critical for early detection of the methane feedback described in Section 4.3 — illustrates AI’s detection capabilities most starkly. Permafrost thaw produces measurable signatures across multiple data streams: ground surface subsidence detectable by InSAR satellite radar; temperature anomalies in borehole measurements; changes in vegetation community composition detectable by multispectral imaging; methane concentration anomalies detectable by hyperspectral atmospheric sounding instruments. No human analyst team can monitor all these data streams continuously across the Arctic’s 25 million square kilometres. An AI system integrating these streams can. The early warning that matters — detecting the onset of a positive feedback before it becomes self-sustaining — is only possible with AI-scale data processing.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THE DATA BOTTLENECK DISSOLVED</w:t>
            </w:r>
          </w:p>
          <w:p>
            <w:pPr>
              <w:spacing w:line="300"/>
            </w:pPr>
            <w:r>
              <w:rPr>
                <w:rFonts w:ascii="Arial" w:cs="Arial" w:eastAsia="Arial" w:hAnsi="Arial"/>
                <w:i/>
                <w:iCs/>
                <w:sz w:val="22"/>
                <w:szCs w:val="22"/>
              </w:rPr>
              <w:t xml:space="preserve">The climate crisis is, among other things, a data crisis: we generate vastly more Earth observation data than we can analyse, we have vastly more materials candidates to test than we can synthesise, and we have vastly more agricultural sensors than we can interpret. AI does not solve the climate crisis. It dissolves the data bottleneck that has prevented the scientific knowledge we already have from being applied at the speed and scale the crisis demands. In a very precise sense, AI is not creating new knowledge about the climate. It is making the knowledge we already have actionable.</w:t>
            </w:r>
          </w:p>
        </w:tc>
      </w:tr>
    </w:tbl>
    <w:p>
      <w:pPr>
        <w:pStyle w:val="Heading2"/>
      </w:pPr>
      <w:r>
        <w:t xml:space="preserve">7.4 AI in Agriculture: The Plant-Scale Revolution</w:t>
      </w:r>
    </w:p>
    <w:p>
      <w:pPr>
        <w:spacing w:after="200" w:line="320"/>
      </w:pPr>
      <w:r>
        <w:rPr>
          <w:rFonts w:ascii="Arial" w:cs="Arial" w:eastAsia="Arial" w:hAnsi="Arial"/>
          <w:sz w:val="22"/>
          <w:szCs w:val="22"/>
        </w:rPr>
        <w:t xml:space="preserve">The precision agriculture application described in Section 2.2 understates what AI is making possible at the intersection of plant science and data. The next generation of agricultural AI is not simply interpreting sensor data — it is building dynamic, field-scale models of crop physiology that update in real time and prescribe management actions with a specificity that no human agronomist could replicate across a farm of any significant size.</w:t>
      </w:r>
    </w:p>
    <w:p>
      <w:pPr>
        <w:spacing w:after="200" w:line="320"/>
      </w:pPr>
      <w:r>
        <w:rPr>
          <w:rFonts w:ascii="Arial" w:cs="Arial" w:eastAsia="Arial" w:hAnsi="Arial"/>
          <w:sz w:val="22"/>
          <w:szCs w:val="22"/>
        </w:rPr>
        <w:t xml:space="preserve">Foundation models trained on multi-modal agricultural data — combining satellite multispectral imagery, ground-based soil sensors, weather station data, historical yield maps, and agronomic knowledge bases — can predict, at sub-metre resolution, the optimal nitrogen application rate, irrigation timing, pesticide requirement, and harvest date for each location in a field. The underlying science is the same plant physiology described in Section 2.2 — chlorophyll fluorescence, leaf nitrogen concentration, water potential, stomatal conductance — but the scale at which it can be applied, and the speed at which management decisions can be adjusted in response to changing conditions, is orders of magnitude beyond human capability.</w:t>
      </w:r>
    </w:p>
    <w:p>
      <w:pPr>
        <w:spacing w:after="200" w:line="320"/>
      </w:pPr>
      <w:r>
        <w:rPr>
          <w:rFonts w:ascii="Arial" w:cs="Arial" w:eastAsia="Arial" w:hAnsi="Arial"/>
          <w:sz w:val="22"/>
          <w:szCs w:val="22"/>
        </w:rPr>
        <w:t xml:space="preserve">Crop disease detection illustrates the stakes. Late blight of potato (Phytophthora infestans), the pathogen responsible for the Irish famine of 1845–1852, still causes approximately US$6 billion in global crop losses annually despite 170 years of agricultural science. The pathogen spreads through spore dispersal, with visible symptoms appearing 3–5 days after initial infection. AI-powered computer vision systems mounted on UAVs can detect the earliest visible symptoms — pale green water-soaked lesions 2–3mm in diameter — before they are visible to the human eye, enabling targeted fungicide application to infected plants only rather than prophylactic whole-field spraying. The reduction in fungicide use is 70–90%; the reduction in disease spread is comparable to full-coverage prophylactic treatment. This is AI making the connection between plant pathology and precision intervention that human observation simply cannot achieve at field scale.</w:t>
      </w:r>
    </w:p>
    <w:p>
      <w:pPr>
        <w:spacing w:after="200" w:line="320"/>
      </w:pPr>
      <w:r>
        <w:rPr>
          <w:rFonts w:ascii="Arial" w:cs="Arial" w:eastAsia="Arial" w:hAnsi="Arial"/>
          <w:sz w:val="22"/>
          <w:szCs w:val="22"/>
        </w:rPr>
        <w:t xml:space="preserve">The defence connection is direct. Military UAV platforms, navigation systems, and sensor fusion algorithms developed for reconnaissance and targeting are being adapted for agricultural surveillance at a pace that civilian drone manufacturers cannot match. The AI systems that identify camouflaged military vehicles through sparse canopy cover are the same architectures — adapted through transfer learning — that identify disease lesions through crop canopy. The military investment in robust, weather-tolerant, long-endurance UAV platforms is creating the hardware infrastructure for a precision agriculture revolution that civilian development alone would take a decade longer to achieve.</w:t>
      </w:r>
    </w:p>
    <w:p>
      <w:pPr>
        <w:pStyle w:val="Heading2"/>
      </w:pPr>
      <w:r>
        <w:t xml:space="preserve">7.5 AI in Grid Management: The Renewable Energy Bottleneck Solved</w:t>
      </w:r>
    </w:p>
    <w:p>
      <w:pPr>
        <w:spacing w:after="200" w:line="320"/>
      </w:pPr>
      <w:r>
        <w:rPr>
          <w:rFonts w:ascii="Arial" w:cs="Arial" w:eastAsia="Arial" w:hAnsi="Arial"/>
          <w:sz w:val="22"/>
          <w:szCs w:val="22"/>
        </w:rPr>
        <w:t xml:space="preserve">The single greatest technical barrier to 100% renewable electricity systems is intermittency. Solar panels generate electricity only when the sun shines; wind turbines only when the wind blows; the demand for electricity follows human activity patterns that correlate only weakly with renewable generation. Managing a grid with high renewable penetration — balancing supply and demand in real time while maintaining frequency stability within the 49.5–50.5 Hz tolerance that prevents equipment damage — requires forecasting, optimisation, and control at a speed and complexity that exceeds human operator capability.</w:t>
      </w:r>
    </w:p>
    <w:p>
      <w:pPr>
        <w:spacing w:after="200" w:line="320"/>
      </w:pPr>
      <w:r>
        <w:rPr>
          <w:rFonts w:ascii="Arial" w:cs="Arial" w:eastAsia="Arial" w:hAnsi="Arial"/>
          <w:sz w:val="22"/>
          <w:szCs w:val="22"/>
        </w:rPr>
        <w:t xml:space="preserve">AI grid management systems are solving this problem. Deep reinforcement learning algorithms, trained on historical grid operating data, learn to anticipate demand fluctuations, predict renewable generation from weather forecasts and satellite cloud cover data, schedule battery storage charge and discharge cycles, coordinate demand response from flexible loads (electric vehicles, heat pumps, industrial processes), and dispatch generation assets in real time to maintain grid stability. Google’s DeepMind AI, applied to the management of its own data centre cooling systems, reduced cooling energy consumption by 40% in the first deployment. Applied to grid management, comparable efficiency gains translate to hundreds of millions of tonnes of avoided CO₂ emissions annually from generation assets that no longer need to operate at less-than-optimal efficiency to provide frequency response reserves.</w:t>
      </w:r>
    </w:p>
    <w:p>
      <w:pPr>
        <w:spacing w:after="200" w:line="320"/>
      </w:pPr>
      <w:r>
        <w:rPr>
          <w:rFonts w:ascii="Arial" w:cs="Arial" w:eastAsia="Arial" w:hAnsi="Arial"/>
          <w:sz w:val="22"/>
          <w:szCs w:val="22"/>
        </w:rPr>
        <w:t xml:space="preserve">The defence-to-civilian transfer pathway here runs through military microgrid management. Forward operating bases require exactly the same capability as civilian grids at smaller scale: managing variable renewable inputs (solar and wind at the base) against unpredictable loads (operational surges, cooling, communications) with battery storage as the balancing mechanism and generator backup as the last resort. AI microgrid management systems developed and proven in military deployments — where grid failure has immediate operational consequences that create the most demanding test environment possible — transfer directly to civilian grid applications. The military is running the field trial that civilian grid operators need but cannot replicate under live operational conditions.</w:t>
      </w:r>
    </w:p>
    <w:p>
      <w:pPr>
        <w:spacing w:after="200" w:line="320"/>
      </w:pPr>
      <w:r>
        <w:rPr>
          <w:rFonts w:ascii="Arial" w:cs="Arial" w:eastAsia="Arial" w:hAnsi="Arial"/>
          <w:sz w:val="22"/>
          <w:szCs w:val="22"/>
        </w:rPr>
        <w:t xml:space="preserve">Vincorion’s integrated power systems for Patriot and Iris-T air defence systems described in Section 2.2 are early-stage examples of this capability. The AI that balances photovoltaic generation, battery storage, and generator backup at an air defence site is the same AI, at larger scale, that will manage the distributed energy systems of a decarbonised European grid. The military deployment is not a side project; it is the validation environment for one of the most critical technologies of the energy transition.</w:t>
      </w:r>
    </w:p>
    <w:p>
      <w:pPr>
        <w:pStyle w:val="Heading2"/>
      </w:pPr>
      <w:r>
        <w:t xml:space="preserve">7.6 AI as the Defence-to-Climate Translation Layer</w:t>
      </w:r>
    </w:p>
    <w:p>
      <w:pPr>
        <w:spacing w:after="200" w:line="320"/>
      </w:pPr>
      <w:r>
        <w:rPr>
          <w:rFonts w:ascii="Arial" w:cs="Arial" w:eastAsia="Arial" w:hAnsi="Arial"/>
          <w:sz w:val="22"/>
          <w:szCs w:val="22"/>
        </w:rPr>
        <w:t xml:space="preserve">Beyond its applications in specific technologies, AI performs a function that this paper’s entire argument depends upon: it identifies the connections between military capabilities and civilian climate applications that would not be obvious to either defence engineers or climate scientists working in isolation.</w:t>
      </w:r>
    </w:p>
    <w:p>
      <w:pPr>
        <w:spacing w:after="200" w:line="320"/>
      </w:pPr>
      <w:r>
        <w:rPr>
          <w:rFonts w:ascii="Arial" w:cs="Arial" w:eastAsia="Arial" w:hAnsi="Arial"/>
          <w:sz w:val="22"/>
          <w:szCs w:val="22"/>
        </w:rPr>
        <w:t xml:space="preserve">Large language models trained on scientific literature across physics, chemistry, biology, materials science, and engineering can identify structural similarities between military technology problems and civilian climate problems that no human expert team could survey comprehensively. The identification that Fischer-Tropsch synthesis (an existing industrial process) could be powered by electrolytic hydrogen to produce e-fuels was not an AI insight — but the systematic mapping of which of the thousands of military technology capabilities have transferable civilian climate applications is exactly the kind of large-scale knowledge synthesis that AI is uniquely equipped to perform.</w:t>
      </w:r>
    </w:p>
    <w:p>
      <w:pPr>
        <w:spacing w:after="200" w:line="320"/>
      </w:pPr>
      <w:r>
        <w:rPr>
          <w:rFonts w:ascii="Arial" w:cs="Arial" w:eastAsia="Arial" w:hAnsi="Arial"/>
          <w:sz w:val="22"/>
          <w:szCs w:val="22"/>
        </w:rPr>
        <w:t xml:space="preserve">Workforce transition — the most critical bottleneck in the just transition described in Section 6.3 — benefits from AI skills mapping at an equally fundamental level. AI systems that analyse job descriptions, skills taxonomies, training programme curricula, and labour market data can identify which defence occupational categories map most directly to which clean energy roles, predict which geographic labour markets have the highest concentrations of transferable skills, design personalised retraining pathways for individual workers, and match individuals to specific job openings in clean energy industries before they leave their defence roles. This is not a marginal improvement on existing workforce transition services; it is the difference between a just transition programme that helps 10% of affected workers and one that helps 70%.</w:t>
      </w:r>
    </w:p>
    <w:p>
      <w:pPr>
        <w:spacing w:after="200" w:line="320"/>
      </w:pPr>
      <w:r>
        <w:rPr>
          <w:rFonts w:ascii="Arial" w:cs="Arial" w:eastAsia="Arial" w:hAnsi="Arial"/>
          <w:sz w:val="22"/>
          <w:szCs w:val="22"/>
        </w:rPr>
        <w:t xml:space="preserve">At the procurement policy level, AI systems can analyse defence contract specifications, technology readiness levels, and civilian clean energy market requirements simultaneously, identifying dual-use potential in proposed defence acquisitions before contracts are let — enabling dual-use criteria to be built into procurement from the outset rather than retrofitted after the fact. This is the policy implementation tool that makes Section 3.2’s dual-use procurement mandates operationally feasible at the scale of thousands of annual defence contracting decisions.</w:t>
      </w:r>
    </w:p>
    <w:p>
      <w:pPr>
        <w:pStyle w:val="Heading2"/>
      </w:pPr>
      <w:r>
        <w:t xml:space="preserve">7.7 The Jobs AI Creates in the Climate Transition</w:t>
      </w:r>
    </w:p>
    <w:p>
      <w:pPr>
        <w:spacing w:after="200" w:line="320"/>
      </w:pPr>
      <w:r>
        <w:rPr>
          <w:rFonts w:ascii="Arial" w:cs="Arial" w:eastAsia="Arial" w:hAnsi="Arial"/>
          <w:sz w:val="22"/>
          <w:szCs w:val="22"/>
        </w:rPr>
        <w:t xml:space="preserve">A serious assessment of AI’s role in the climate transition must acknowledge what it does not do: it does not eliminate the need for human workers. What it does is shift the distribution of work from low-value data collection and routine analysis toward high-value interpretation, decision-making, innovation, and implementation — and it creates entirely new categories of work that did not exist before.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800"/>
        <w:gridCol w:w="1800"/>
        <w:gridCol w:w="2200"/>
        <w:gridCol w:w="2000"/>
      </w:tblGrid>
      <w:tr>
        <w:trPr>
          <w:tblHeader/>
        </w:trPr>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AI Application</w:t>
            </w:r>
          </w:p>
        </w:tc>
        <w:tc>
          <w:tcPr>
            <w:tcW w:type="dxa" w:w="18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Jobs Created</w:t>
            </w:r>
          </w:p>
        </w:tc>
        <w:tc>
          <w:tcPr>
            <w:tcW w:type="dxa" w:w="18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Jobs Transformed</w:t>
            </w:r>
          </w:p>
        </w:tc>
        <w:tc>
          <w:tcPr>
            <w:tcW w:type="dxa" w:w="22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Skills Required</w:t>
            </w:r>
          </w:p>
        </w:tc>
        <w:tc>
          <w:tcPr>
            <w:tcW w:type="dxa" w:w="2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Where These Workers Come From</w:t>
            </w:r>
          </w:p>
        </w:tc>
      </w:tr>
      <w:tr>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AI-driven materials discovery (batteries, e-fuels, bio-composites)</w:t>
            </w:r>
          </w:p>
        </w:tc>
        <w:tc>
          <w:tcPr>
            <w:tcW w:type="dxa" w:w="1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Computational chemists, ML engineers, laboratory automation technicians</w:t>
            </w:r>
          </w:p>
        </w:tc>
        <w:tc>
          <w:tcPr>
            <w:tcW w:type="dxa" w:w="1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Experimental chemists (augmented, not replaced)</w:t>
            </w:r>
          </w:p>
        </w:tc>
        <w:tc>
          <w:tcPr>
            <w:tcW w:type="dxa" w:w="22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Chemistry, ML, Python, molecular simulation</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Chemistry graduates, defence R&amp;D conversion</w:t>
            </w:r>
          </w:p>
        </w:tc>
      </w:tr>
      <w:tr>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Earth observation and climate AI</w:t>
            </w:r>
          </w:p>
        </w:tc>
        <w:tc>
          <w:tcPr>
            <w:tcW w:type="dxa" w:w="1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Remote sensing analysts, geospatial AI engineers, climate data scientists</w:t>
            </w:r>
          </w:p>
        </w:tc>
        <w:tc>
          <w:tcPr>
            <w:tcW w:type="dxa" w:w="1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Satellite imagery analysts (massively scaled up)</w:t>
            </w:r>
          </w:p>
        </w:tc>
        <w:tc>
          <w:tcPr>
            <w:tcW w:type="dxa" w:w="22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GIS, deep learning, atmospheric science, programming</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Geography, physics, environmental science graduates</w:t>
            </w:r>
          </w:p>
        </w:tc>
      </w:tr>
      <w:tr>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Agricultural AI and UAV systems</w:t>
            </w:r>
          </w:p>
        </w:tc>
        <w:tc>
          <w:tcPr>
            <w:tcW w:type="dxa" w:w="1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AI agronomists, precision farming technicians, UAV data analysts, plant AI specialists</w:t>
            </w:r>
          </w:p>
        </w:tc>
        <w:tc>
          <w:tcPr>
            <w:tcW w:type="dxa" w:w="1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Traditional agronomists (augmented with AI tools)</w:t>
            </w:r>
          </w:p>
        </w:tc>
        <w:tc>
          <w:tcPr>
            <w:tcW w:type="dxa" w:w="22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Agronomy, computer vision, UAV operation, soil science</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Agriculture graduates, defence UAV operators</w:t>
            </w:r>
          </w:p>
        </w:tc>
      </w:tr>
      <w:tr>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AI grid management</w:t>
            </w:r>
          </w:p>
        </w:tc>
        <w:tc>
          <w:tcPr>
            <w:tcW w:type="dxa" w:w="1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Energy systems AI engineers, grid data scientists, demand response managers</w:t>
            </w:r>
          </w:p>
        </w:tc>
        <w:tc>
          <w:tcPr>
            <w:tcW w:type="dxa" w:w="1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Grid operators (higher-level decision-making roles)</w:t>
            </w:r>
          </w:p>
        </w:tc>
        <w:tc>
          <w:tcPr>
            <w:tcW w:type="dxa" w:w="22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Electrical engineering, reinforcement learning, power systems</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Electrical engineers, defence systems engineers</w:t>
            </w:r>
          </w:p>
        </w:tc>
      </w:tr>
      <w:tr>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AI-powered PFAS and site remediation</w:t>
            </w:r>
          </w:p>
        </w:tc>
        <w:tc>
          <w:tcPr>
            <w:tcW w:type="dxa" w:w="1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Environmental data scientists, remediation AI specialists, sensor network managers</w:t>
            </w:r>
          </w:p>
        </w:tc>
        <w:tc>
          <w:tcPr>
            <w:tcW w:type="dxa" w:w="1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Field remediation technicians (more data-driven)</w:t>
            </w:r>
          </w:p>
        </w:tc>
        <w:tc>
          <w:tcPr>
            <w:tcW w:type="dxa" w:w="22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Environmental chemistry, IoT, data analysis</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Environmental engineers, defence site managers</w:t>
            </w:r>
          </w:p>
        </w:tc>
      </w:tr>
      <w:tr>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Workforce transition AI platforms</w:t>
            </w:r>
          </w:p>
        </w:tc>
        <w:tc>
          <w:tcPr>
            <w:tcW w:type="dxa" w:w="1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AI career advisors, skills mapping specialists, retraining programme designers</w:t>
            </w:r>
          </w:p>
        </w:tc>
        <w:tc>
          <w:tcPr>
            <w:tcW w:type="dxa" w:w="1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HR professionals in defence and energy sectors</w:t>
            </w:r>
          </w:p>
        </w:tc>
        <w:tc>
          <w:tcPr>
            <w:tcW w:type="dxa" w:w="22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Data science, labour economics, education technology</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HR professionals, educators, data scientists</w:t>
            </w:r>
          </w:p>
        </w:tc>
      </w:tr>
    </w:tbl>
    <w:p>
      <w:pPr>
        <w:spacing w:after="100"/>
      </w:pPr>
      <w:r>
        <w:t xml:space="preserve"/>
      </w:r>
    </w:p>
    <w:p>
      <w:pPr>
        <w:spacing w:after="200" w:line="320"/>
      </w:pPr>
      <w:r>
        <w:rPr>
          <w:rFonts w:ascii="Arial" w:cs="Arial" w:eastAsia="Arial" w:hAnsi="Arial"/>
          <w:sz w:val="22"/>
          <w:szCs w:val="22"/>
        </w:rPr>
        <w:t xml:space="preserve">The pattern across all these applications is consistent: AI augments human capability rather than replacing it, but it shifts the nature of human work upward in the value chain. A remote sensing analyst in the pre-AI era spent the majority of their time manually classifying satellite imagery — skilled but repetitive work. In the AI era, the same analyst interprets AI-generated classifications, investigates anomalies that the AI flags but cannot explain, and communicates findings to policymakers and operational decision-makers. The work is more intellectually demanding, more consequential, and — in virtually every comparable sector where this transition has occurred — better compensated.</w:t>
      </w:r>
    </w:p>
    <w:p>
      <w:pPr>
        <w:spacing w:after="200" w:line="320"/>
      </w:pPr>
      <w:r>
        <w:rPr>
          <w:rFonts w:ascii="Arial" w:cs="Arial" w:eastAsia="Arial" w:hAnsi="Arial"/>
          <w:sz w:val="22"/>
          <w:szCs w:val="22"/>
        </w:rPr>
        <w:t xml:space="preserve">The geographies where these jobs will grow are not random. They will concentrate in regions with strong university research programmes in the relevant sciences (computational chemistry, earth observation, environmental engineering), strong manufacturing bases for technology deployment (battery factories, e-fuel plants, UAV assembly), and the existing defence industry presence that provides the technology transfer pathway. These are, in most cases, the same regions that are most dependent on conventional defence manufacturing and most vulnerable to its decline. The AI-enabled climate transition is therefore an economic opportunity that is geographically co-located with the communities that most need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THE AI DIVIDEND IN NUMBERS</w:t>
            </w:r>
          </w:p>
          <w:p>
            <w:pPr>
              <w:spacing w:line="300"/>
            </w:pPr>
            <w:r>
              <w:rPr>
                <w:rFonts w:ascii="Arial" w:cs="Arial" w:eastAsia="Arial" w:hAnsi="Arial"/>
                <w:i/>
                <w:iCs/>
                <w:sz w:val="22"/>
                <w:szCs w:val="22"/>
              </w:rPr>
              <w:t xml:space="preserve">Across the technology sectors in this paper, AI-enabled efficiency gains, discovery acceleration, and deployment optimisation are estimated to create an additional economic value of US$800 billion to US$1.2 trillion annually by 2035 — through reduced energy waste, faster technology commercialisation, higher agricultural productivity, improved grid reliability, and accelerated remediation of contaminated sites. This is not value created from thin air; it is value that currently exists in the form of inefficiency, delay, contamination, and missed opportunity, converted into productive economic activity by applying AI at scale to problems that are already scientifically understood.</w:t>
            </w:r>
          </w:p>
        </w:tc>
      </w:tr>
    </w:tbl>
    <w:p>
      <w:pPr>
        <w:pStyle w:val="Heading1"/>
      </w:pPr>
      <w:r>
        <w:t xml:space="preserve">8. Conclusion: The Paradox Resolved</w:t>
      </w:r>
    </w:p>
    <w:p>
      <w:pPr>
        <w:pStyle w:val="Heading2"/>
      </w:pPr>
      <w:r>
        <w:t xml:space="preserve">8.1 What the Evidence Shows</w:t>
      </w:r>
    </w:p>
    <w:p>
      <w:pPr>
        <w:spacing w:after="200" w:line="320"/>
      </w:pPr>
      <w:r>
        <w:rPr>
          <w:rFonts w:ascii="Arial" w:cs="Arial" w:eastAsia="Arial" w:hAnsi="Arial"/>
          <w:sz w:val="22"/>
          <w:szCs w:val="22"/>
        </w:rPr>
        <w:t xml:space="preserve">The Climate Solution Paradox is this: the sector most associated with destruction — the defence industry — possesses the technical capabilities, capital scale, and operational incentives best positioned to accelerate the clean energy technologies that the climate crisis requires. The paradox is not resolved by moral argument; it is resolved by examining the structural alignment of military operational imperatives with decarbonisation objectives.</w:t>
      </w:r>
    </w:p>
    <w:p>
      <w:pPr>
        <w:spacing w:after="200" w:line="320"/>
      </w:pPr>
      <w:r>
        <w:rPr>
          <w:rFonts w:ascii="Arial" w:cs="Arial" w:eastAsia="Arial" w:hAnsi="Arial"/>
          <w:sz w:val="22"/>
          <w:szCs w:val="22"/>
        </w:rPr>
        <w:t xml:space="preserve">The evidence reviewed in this paper is not speculative. BAE Systems’ hybrid bus propulsion and F-35 manufacturing at the same facility is documented. Muon Space’s US$2.9 million Space Force contract for dual-use wildfire and weather monitoring is documented. Rheinmetall’s Giga PtX e-fuel commitment is documented. Saab and Midsummer’s Colombian solar factory is documented. Scandinavian Astor’s sodium-ion battery development with Altris is documented. These are not aspirational cases; they are operational examples of a technology transfer dynamic that is already underway.</w:t>
      </w:r>
    </w:p>
    <w:p>
      <w:pPr>
        <w:pStyle w:val="Heading2"/>
      </w:pPr>
      <w:r>
        <w:t xml:space="preserve">8.2 Three Specific Calls to Action</w:t>
      </w:r>
    </w:p>
    <w:p>
      <w:pPr>
        <w:spacing w:after="200" w:line="320"/>
      </w:pPr>
      <w:r>
        <w:rPr>
          <w:rFonts w:ascii="Arial" w:cs="Arial" w:eastAsia="Arial" w:hAnsi="Arial"/>
          <w:b/>
          <w:bCs/>
          <w:sz w:val="22"/>
          <w:szCs w:val="22"/>
        </w:rPr>
        <w:t xml:space="preserve">To Governments and Policymakers:</w:t>
      </w:r>
    </w:p>
    <w:p>
      <w:pPr>
        <w:spacing w:after="200" w:line="320"/>
      </w:pPr>
      <w:r>
        <w:rPr>
          <w:rFonts w:ascii="Arial" w:cs="Arial" w:eastAsia="Arial" w:hAnsi="Arial"/>
          <w:sz w:val="22"/>
          <w:szCs w:val="22"/>
        </w:rPr>
        <w:t xml:space="preserve">Implement dual-use procurement mandates in defence contracts by mid-2027. This single policy change — requiring defence bidders to demonstrate civilian technology transfer potential alongside operational specifications — would restructure the incentive landscape for the entire defence industrial base. Pair it with Just Transition programmes that retrain defence workers for clean energy manufacturing, drawing on the existing engineering talent that conversion programmes cannot afford to displace.</w:t>
      </w:r>
    </w:p>
    <w:p>
      <w:pPr>
        <w:spacing w:after="200" w:line="320"/>
      </w:pPr>
      <w:r>
        <w:rPr>
          <w:rFonts w:ascii="Arial" w:cs="Arial" w:eastAsia="Arial" w:hAnsi="Arial"/>
          <w:b/>
          <w:bCs/>
          <w:sz w:val="22"/>
          <w:szCs w:val="22"/>
        </w:rPr>
        <w:t xml:space="preserve">To Defence Contractors:</w:t>
      </w:r>
    </w:p>
    <w:p>
      <w:pPr>
        <w:spacing w:after="200" w:line="320"/>
      </w:pPr>
      <w:r>
        <w:rPr>
          <w:rFonts w:ascii="Arial" w:cs="Arial" w:eastAsia="Arial" w:hAnsi="Arial"/>
          <w:sz w:val="22"/>
          <w:szCs w:val="22"/>
        </w:rPr>
        <w:t xml:space="preserve">Accelerate dual-use R&amp;D and publish transparent reporting on civilian technology transfer outcomes. The reputational case for doing so is strong: the companies that demonstrate credible civilian climate spillover from defence investment will be more resilient to political pressure than those that rely on conventional defence narratives. Rheinmetall, Saab, and BAE Systems have already demonstrated what leadership in this space looks like.</w:t>
      </w:r>
    </w:p>
    <w:p>
      <w:pPr>
        <w:spacing w:after="200" w:line="320"/>
      </w:pPr>
      <w:r>
        <w:rPr>
          <w:rFonts w:ascii="Arial" w:cs="Arial" w:eastAsia="Arial" w:hAnsi="Arial"/>
          <w:b/>
          <w:bCs/>
          <w:sz w:val="22"/>
          <w:szCs w:val="22"/>
        </w:rPr>
        <w:t xml:space="preserve">To Investors:</w:t>
      </w:r>
    </w:p>
    <w:p>
      <w:pPr>
        <w:spacing w:after="200" w:line="320"/>
      </w:pPr>
      <w:r>
        <w:rPr>
          <w:rFonts w:ascii="Arial" w:cs="Arial" w:eastAsia="Arial" w:hAnsi="Arial"/>
          <w:sz w:val="22"/>
          <w:szCs w:val="22"/>
        </w:rPr>
        <w:t xml:space="preserve">Recognise the convergence of security and sustainability as a durable investment theme, not a cyclical trend. The electric military vehicle market (US$27 billion by 2030), synthetic fuels market (US$70 billion by 2030), and dual-use satellite market are underpinned by sovereign procurement commitments, not consumer preference. These markets do not evaporate if ESG sentiment shifts. They are driven by strategic necessity — which is exactly the quality that makes them investable over long horizons.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THE PROPOSITION</w:t>
            </w:r>
          </w:p>
          <w:p>
            <w:pPr>
              <w:spacing w:line="300"/>
            </w:pPr>
            <w:r>
              <w:rPr>
                <w:rFonts w:ascii="Arial" w:cs="Arial" w:eastAsia="Arial" w:hAnsi="Arial"/>
                <w:i/>
                <w:iCs/>
                <w:sz w:val="22"/>
                <w:szCs w:val="22"/>
              </w:rPr>
              <w:t xml:space="preserve">The defence sector’s most powerful contribution to the climate crisis will not come from voluntary commitments or rebranding exercises. It will come from the structural alignment of military operational necessity with clean energy technology development — an alignment that is already producing investment at a scale that civilian climate programmes have not matched. The question for policymakers is how to design the frameworks that maximise the civilian spillover. That is the work this paper calls for.</w:t>
            </w:r>
          </w:p>
        </w:tc>
      </w:tr>
    </w:tbl>
    <w:p>
      <w:pPr>
        <w:pStyle w:val="Heading2"/>
      </w:pPr>
      <w:r>
        <w:t xml:space="preserve">8.3 What This World Looks Like: An Evidence-Based Vision</w:t>
      </w:r>
    </w:p>
    <w:p>
      <w:pPr>
        <w:spacing w:after="200" w:line="320"/>
      </w:pPr>
      <w:r>
        <w:rPr>
          <w:rFonts w:ascii="Arial" w:cs="Arial" w:eastAsia="Arial" w:hAnsi="Arial"/>
          <w:sz w:val="22"/>
          <w:szCs w:val="22"/>
        </w:rPr>
        <w:t xml:space="preserve">Policy documents rarely permit themselves to describe what success looks like in scientific terms. This one will. Not as aspiration, but as the logical consequence of the physical, chemical, and ecological processes described in this paper — each supported by the planetary boundaries framework in Section 5.4 — applied at scale and connected as complete solution pathways.</w:t>
      </w:r>
    </w:p>
    <w:p>
      <w:pPr>
        <w:pStyle w:val="Heading3"/>
      </w:pPr>
      <w:r>
        <w:t xml:space="preserve">The Hydrological Pathway</w:t>
      </w:r>
    </w:p>
    <w:p>
      <w:pPr>
        <w:spacing w:after="200" w:line="320"/>
      </w:pPr>
      <w:r>
        <w:rPr>
          <w:rFonts w:ascii="Arial" w:cs="Arial" w:eastAsia="Arial" w:hAnsi="Arial"/>
          <w:sz w:val="22"/>
          <w:szCs w:val="22"/>
        </w:rPr>
        <w:t xml:space="preserve">Water is the connective tissue of Earth’s climate system. The hydrological cycle — evaporation, atmospheric transport, precipitation, runoff, infiltration, groundwater recharge — regulates temperature, distributes energy, supports ecosystems, and underlies all of agriculture. Military investment in water purification technology, originally driven by the operational requirement to supply clean water in theatres without reliable infrastructure, has produced membrane filtration, UV sterilisation, and reverse osmosis systems that are now the foundation of civilian water treatment in water-stressed regions worldwide. Continued investment in point-of-use purification systems — driven by the military’s need to operate without supply chain dependency — will continue to transfer to the 2.2 billion people who currently lack access to safe drinking water.</w:t>
      </w:r>
    </w:p>
    <w:p>
      <w:pPr>
        <w:spacing w:after="200" w:line="320"/>
      </w:pPr>
      <w:r>
        <w:rPr>
          <w:rFonts w:ascii="Arial" w:cs="Arial" w:eastAsia="Arial" w:hAnsi="Arial"/>
          <w:sz w:val="22"/>
          <w:szCs w:val="22"/>
        </w:rPr>
        <w:t xml:space="preserve">The PFAS remediation chemistry described in Section 3.4 restores groundwater systems that are the primary water source for approximately 2 billion people globally. Electrochemical advanced oxidation processes — generating hydroxyl radicals (•OH) with oxidation potential of 2.80V, sufficient to cleave the C-F bond — and sonochemical cavitation (ultrasonic acoustic waves generating localised temperatures of 5,000K and pressures of 1,000 atm that destroy PFAS molecules) are being developed specifically for military site remediation. These technologies transfer directly to industrial site remediation, to drinking water treatment, and to the remediation of agricultural land contaminated by PFAS-containing biosolids.</w:t>
      </w:r>
    </w:p>
    <w:p>
      <w:pPr>
        <w:pStyle w:val="Heading3"/>
      </w:pPr>
      <w:r>
        <w:t xml:space="preserve">The Nitrogen Pathway</w:t>
      </w:r>
    </w:p>
    <w:p>
      <w:pPr>
        <w:spacing w:after="200" w:line="320"/>
      </w:pPr>
      <w:r>
        <w:rPr>
          <w:rFonts w:ascii="Arial" w:cs="Arial" w:eastAsia="Arial" w:hAnsi="Arial"/>
          <w:sz w:val="22"/>
          <w:szCs w:val="22"/>
        </w:rPr>
        <w:t xml:space="preserve">The nitrogen cycle has been more profoundly disrupted by industrial agriculture than any other biogeochemical cycle except carbon. The Haber-Bosch process — the industrial synthesis of ammonia (N₂ + 3H₂ → 2NH₃) under high temperature (400–500°C) and pressure (150–300 bar) over an iron catalyst — fixes approximately 150 million tonnes of nitrogen annually, roughly doubling the amount of biologically available nitrogen in the terrestrial system compared to pre-industrial levels. The consequence is cascading nitrogen pollution: nitrate (NO₃⁻) leaching into groundwater and rivers; nitrous oxide (N₂O) emitted from soils and water bodies; nitrogen deposition acidifying forests and heathlands; algal blooms in coastal waters consuming dissolved oxygen and creating dead zones.</w:t>
      </w:r>
    </w:p>
    <w:p>
      <w:pPr>
        <w:spacing w:after="200" w:line="320"/>
      </w:pPr>
      <w:r>
        <w:rPr>
          <w:rFonts w:ascii="Arial" w:cs="Arial" w:eastAsia="Arial" w:hAnsi="Arial"/>
          <w:sz w:val="22"/>
          <w:szCs w:val="22"/>
        </w:rPr>
        <w:t xml:space="preserve">Defence-derived hyperspectral UAV sensing enables the precision nitrogen management that can begin to restore the nitrogen cycle’s balance. The complete pathway: UAV-mounted sensors measure plant nitrogen status in real time through spectral reflectance at 550nm (green peak, chlorophyll content proxy), 700nm (red edge, closely correlated with leaf nitrogen concentration), and 970nm (water content correction) — generating variable-rate nitrogen application maps that direct precision fertiliser applicators to apply the right amount to each square metre. The agronomic outcome is maintained yield; the environmental outcome is 20–40% reduction in nitrogen application, with proportional reductions in N₂O emissions, nitrate leaching, and downstream eutrophication.</w:t>
      </w:r>
    </w:p>
    <w:p>
      <w:pPr>
        <w:pStyle w:val="Heading3"/>
      </w:pPr>
      <w:r>
        <w:t xml:space="preserve">The Forest Pathway</w:t>
      </w:r>
    </w:p>
    <w:p>
      <w:pPr>
        <w:spacing w:after="200" w:line="320"/>
      </w:pPr>
      <w:r>
        <w:rPr>
          <w:rFonts w:ascii="Arial" w:cs="Arial" w:eastAsia="Arial" w:hAnsi="Arial"/>
          <w:sz w:val="22"/>
          <w:szCs w:val="22"/>
        </w:rPr>
        <w:t xml:space="preserve">Boreal and temperate forests managed for cellulose nanofiber production under sustainable forestry protocols operate as integrated carbon–biodiversity–water systems. The carbon pathway is clear: photosynthesis converts atmospheric CO₂ and water into glucose (6CO₂ + 6H₂O + light → C₆H₁₂O₆ + 6O₂), which is used to build cellulose, hemicellulose, and lignin — the structural components of wood. A mature boreal spruce forest stores approximately 150–200 tonnes of carbon per hectare in biomass and soil combined. Sustainable harvest cycles that remove older trees while maintaining canopy cover and understorey diversity actually increase the rate of carbon sequestration per hectare, because younger trees grow faster and fix carbon more rapidly than mature trees.</w:t>
      </w:r>
    </w:p>
    <w:p>
      <w:pPr>
        <w:spacing w:after="200" w:line="320"/>
      </w:pPr>
      <w:r>
        <w:rPr>
          <w:rFonts w:ascii="Arial" w:cs="Arial" w:eastAsia="Arial" w:hAnsi="Arial"/>
          <w:sz w:val="22"/>
          <w:szCs w:val="22"/>
        </w:rPr>
        <w:t xml:space="preserve">The biodiversity pathway runs through the structural diversity that sustainable forestry creates: different-aged trees, standing deadwood, forest edges, and riparian strips support the full spectrum of forest biodiversity from ground beetles and fungi through to cavity-nesting birds and large mammals. The hydrology pathway operates through the forest’s role as a water regulation system: forest soils absorb and slowly release precipitation, reducing flood peaks and maintaining baseflows in dry periods. The forest canopy intercepts approximately 20–30% of precipitation, which evaporates directly without reaching the soil — contributing to local humidity and the recycling of water through the atmosphere that sustains regional precipitation patterns.</w:t>
      </w:r>
    </w:p>
    <w:p>
      <w:pPr>
        <w:spacing w:after="200" w:line="320"/>
      </w:pPr>
      <w:r>
        <w:rPr>
          <w:rFonts w:ascii="Arial" w:cs="Arial" w:eastAsia="Arial" w:hAnsi="Arial"/>
          <w:sz w:val="22"/>
          <w:szCs w:val="22"/>
        </w:rPr>
        <w:t xml:space="preserve">When defence procurement of bio-composites creates the economic incentive for sustainable forestry expansion at scale, it is not investing in a tree plantation. It is investing in a carbon sink, a biodiversity refuge, a water regulation system, and a renewable materials factory simultaneously. This is what integrated ecological thinking delivers that single-purpose industrial thinking cannot.</w:t>
      </w:r>
    </w:p>
    <w:p>
      <w:pPr>
        <w:pStyle w:val="Heading3"/>
      </w:pPr>
      <w:r>
        <w:t xml:space="preserve">The Ocean Recovery Pathway</w:t>
      </w:r>
    </w:p>
    <w:p>
      <w:pPr>
        <w:spacing w:after="200" w:line="320"/>
      </w:pPr>
      <w:r>
        <w:rPr>
          <w:rFonts w:ascii="Arial" w:cs="Arial" w:eastAsia="Arial" w:hAnsi="Arial"/>
          <w:sz w:val="22"/>
          <w:szCs w:val="22"/>
        </w:rPr>
        <w:t xml:space="preserve">The ocean’s capacity to absorb CO₂ is limited by its chemistry and biology. As surface ocean pH falls with increasing CO₂ absorption, the biological carbon pump — the process by which marine phytoplankton (photosynthetic microorganisms) fix CO₂ through photosynthesis, die, and sink to the deep ocean, transferring carbon from the atmosphere to the seafloor — is impaired. Coccolithophores (calcium carbonate-forming phytoplankton) and pteropods (planktonic molluscs with aragonite shells) are particularly sensitive to acidification because their shell-forming chemistry requires carbonate ion concentrations that fall as pH decreases.</w:t>
      </w:r>
    </w:p>
    <w:p>
      <w:pPr>
        <w:spacing w:after="200" w:line="320"/>
      </w:pPr>
      <w:r>
        <w:rPr>
          <w:rFonts w:ascii="Arial" w:cs="Arial" w:eastAsia="Arial" w:hAnsi="Arial"/>
          <w:sz w:val="22"/>
          <w:szCs w:val="22"/>
        </w:rPr>
        <w:t xml:space="preserve">The ocean recovery pathway requires first and foremost the rapid decarbonisation of shipping — which, along with aviation, accounts for approximately 4–5% of global CO₂ emissions. E-fuel-powered naval vessels and merchant fleets close the carbon cycle for maritime transport, slowing the rate of oceanic CO₂ absorption and the consequent acidification. The dual-use satellite constellation monitoring surface ocean temperature, phytoplankton concentration (measured by ocean colour: chlorophyll-a absorbs strongly at 440nm and 680nm, creating the green-blue colour of productive surface waters), and sea surface salinity provides the observational data that ocean recovery monitoring requires. The SOSUS hydrophone network provides the acoustic data that tracks cetacean population recovery as sonar protocols improve and ocean chemistry stabilises.</w:t>
      </w:r>
    </w:p>
    <w:p>
      <w:pPr>
        <w:spacing w:after="200" w:line="320"/>
      </w:pPr>
      <w:r>
        <w:rPr>
          <w:rFonts w:ascii="Arial" w:cs="Arial" w:eastAsia="Arial" w:hAnsi="Arial"/>
          <w:sz w:val="22"/>
          <w:szCs w:val="22"/>
        </w:rPr>
        <w:t xml:space="preserve">An atmosphere in which e-fuels have replaced fossil aviation fuel and synthetic hydrocarbons power naval vessels is an atmosphere in which approximately 2.5 billion tonnes of CO₂ per year — the current combined emissions from global aviation and shipping — are no longer accumulating. This is not a net-zero accounting exercise; it is a change in atmospheric chemistry. The CO₂ released when an e-fuel-powered aircraft reaches altitude is the same CO₂ that was captured from the atmosphere to make the fuel. The molecular cycle is closed. The Keeling Curve — the graph of atmospheric CO₂ concentration measured continuously at Mauna Loa since 1958 — would, for the first time in industrial history, stop rising because of this sector.</w:t>
      </w:r>
    </w:p>
    <w:p>
      <w:pPr>
        <w:spacing w:after="200" w:line="320"/>
      </w:pPr>
      <w:r>
        <w:rPr>
          <w:rFonts w:ascii="Arial" w:cs="Arial" w:eastAsia="Arial" w:hAnsi="Arial"/>
          <w:sz w:val="22"/>
          <w:szCs w:val="22"/>
        </w:rPr>
        <w:t xml:space="preserve">Forests managed for cellulose nanofiber production under sustainable forestry protocols are forests with active, productive carbon sinks. A hectare of sustainably managed Scandinavian boreal forest sequesters 2–4 tonnes of CO₂ per year while producing the raw material for defence bio-composites. At the scale of Europe’s managed forest estate (approximately 160 million hectares), sustainable management optimised for both carbon sequestration and CNF production could sequester 320–640 million tonnes of CO₂ annually — approximately 8–16% of current EU emissions. The forest is simultaneously a factory, a carbon sink, a biodiversity habitat, and a water regulation system. This is what integrated natural systems science offers that monoculture industrial thinking cannot.</w:t>
      </w:r>
    </w:p>
    <w:p>
      <w:pPr>
        <w:spacing w:after="200" w:line="320"/>
      </w:pPr>
      <w:r>
        <w:rPr>
          <w:rFonts w:ascii="Arial" w:cs="Arial" w:eastAsia="Arial" w:hAnsi="Arial"/>
          <w:sz w:val="22"/>
          <w:szCs w:val="22"/>
        </w:rPr>
        <w:t xml:space="preserve">Precision agriculture enabled by defence-derived hyperspectral sensing and soil chemistry monitoring is agriculture that applies the right nutrient to the right square metre of soil at the right moment in the crop’s physiological development. The consequence is not merely yield improvement; it is a transformation of the nitrogen cycle. Synthetic nitrogen fertiliser production currently accounts for approximately 1–2% of global energy consumption and generates significant N₂O emissions (nitrous oxide, a greenhouse gas with 265 times the warming potential of CO₂ over 100 years). Precision nitrogen application, guided by real-time plant physiology data from UAV hyperspectral sensors, can reduce nitrogen fertiliser use by 20–40% without yield loss. At global scale, this represents tens of millions of tonnes of avoided CO₂-equivalent emissions annually, while also reducing the nitrogen runoff that drives ocean dead zones, algal blooms, and freshwater eutrophication.</w:t>
      </w:r>
    </w:p>
    <w:p>
      <w:pPr>
        <w:spacing w:after="200" w:line="320"/>
      </w:pPr>
      <w:r>
        <w:rPr>
          <w:rFonts w:ascii="Arial" w:cs="Arial" w:eastAsia="Arial" w:hAnsi="Arial"/>
          <w:sz w:val="22"/>
          <w:szCs w:val="22"/>
        </w:rPr>
        <w:t xml:space="preserve">Sodium-ion batteries manufactured from European supply chains and deployed at grid scale are batteries that have severed the link between clean energy storage and Chinese mineral supply chains. But the deeper consequence is ecological. Lithium extraction in the Atacama Desert of Chile draws down ancient aquifer systems in one of the world’s most extreme and biodiverse ecosystems: the salt flats support unique flamingo populations, extremophile microorganisms found nowhere else, and hydrological systems that took millennia to form. Cobalt mining in the Democratic Republic of Congo has driven deforestation, river contamination, and human rights abuses in the Congo Basin — one of the world’s three great tropical rainforest ecosystems. The transition to sodium-ion chemistry is not simply a supply chain decision; it is an ecological intervention.</w:t>
      </w:r>
    </w:p>
    <w:p>
      <w:pPr>
        <w:spacing w:after="200" w:line="320"/>
      </w:pPr>
      <w:r>
        <w:rPr>
          <w:rFonts w:ascii="Arial" w:cs="Arial" w:eastAsia="Arial" w:hAnsi="Arial"/>
          <w:sz w:val="22"/>
          <w:szCs w:val="22"/>
        </w:rPr>
        <w:t xml:space="preserve">And the dual-use satellite infrastructure, continuously monitoring atmospheric methane concentrations, forest cover, ocean surface temperature, soil moisture, wildfire extent, and ice sheet dynamics — this is humanity’s nervous system, the Earth’s own feedback mechanism made visible. With this data at adequate resolution and temporal frequency, the planetary boundaries — the nine Earth system processes identified by Johan Rockström and colleagues that define the safe operating space for human civilisation — become not abstract concepts but monitored indicators, like vital signs in an intensive care unit. Early warning becomes possible. Intervention becomes possible. The difference between a tipping point crossed undetected and a tipping point detected in time to respond is the difference between a recoverable crisis and a civilisational 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THE PHYSICS OF HOPE</w:t>
            </w:r>
          </w:p>
          <w:p>
            <w:pPr>
              <w:spacing w:line="300"/>
            </w:pPr>
            <w:r>
              <w:rPr>
                <w:rFonts w:ascii="Arial" w:cs="Arial" w:eastAsia="Arial" w:hAnsi="Arial"/>
                <w:i/>
                <w:iCs/>
                <w:sz w:val="22"/>
                <w:szCs w:val="22"/>
              </w:rPr>
              <w:t xml:space="preserve">None of the outcomes described above require technologies that do not exist. They require the application, at scale, of carbon chemistry, plant physiology, electrochemistry, semiconductor physics, and Earth systems science that is already understood. The defence sector’s investment in e-fuels, bio-composites, sodium-ion batteries, CIGS photovoltaics, precision agriculture systems, and Earth observation infrastructure is not building the future from scratch. It is taking the science that already exists and creating the conditions — through procurement scale, operational necessity, and engineering rigour — for that science to transform the world. That is what makes this moment genuinely important: the paradox is not just politically convenient, it is scientifically grounded.</w:t>
            </w:r>
          </w:p>
        </w:tc>
      </w:tr>
    </w:tbl>
    <w:p>
      <w:r>
        <w:br w:type="page"/>
      </w:r>
    </w:p>
    <w:p>
      <w:pPr>
        <w:pStyle w:val="Heading1"/>
      </w:pPr>
      <w:r>
        <w:t xml:space="preserve">Methodology</w:t>
      </w:r>
    </w:p>
    <w:p>
      <w:pPr>
        <w:spacing w:after="200" w:line="320"/>
      </w:pPr>
      <w:r>
        <w:rPr>
          <w:rFonts w:ascii="Arial" w:cs="Arial" w:eastAsia="Arial" w:hAnsi="Arial"/>
          <w:sz w:val="22"/>
          <w:szCs w:val="22"/>
        </w:rPr>
        <w:t xml:space="preserve">This white paper employs a qualitative multi-method research design combining: (1) case study analysis of documented dual-use technology transfer examples drawn from company announcements, government procurement records, and independent research; (2) market analysis using published forecasts from independent research houses and government bodies; (3) policy analysis drawing on EU, NATO, US, and national government documents; and (4) critical engagement with counterarguments through structured examination of the greenwashing critique and military emissions paradox.</w:t>
      </w:r>
    </w:p>
    <w:p>
      <w:pPr>
        <w:spacing w:after="200" w:line="320"/>
      </w:pPr>
      <w:r>
        <w:rPr>
          <w:rFonts w:ascii="Arial" w:cs="Arial" w:eastAsia="Arial" w:hAnsi="Arial"/>
          <w:sz w:val="22"/>
          <w:szCs w:val="22"/>
        </w:rPr>
        <w:t xml:space="preserve">All quantitative claims are drawn from cited sources and labelled as estimates, projections, or documented outcomes where appropriate. Market size figures are projections based on current procurement commitments and trajectory analysis; they are presented as indicative ranges, not point forecasts.</w:t>
      </w:r>
    </w:p>
    <w:p>
      <w:pPr>
        <w:pStyle w:val="Heading2"/>
      </w:pPr>
      <w:r>
        <w:t xml:space="preserve">Limitations</w:t>
      </w:r>
    </w:p>
    <w:p>
      <w:pPr>
        <w:pStyle w:val="ListParagraph"/>
        <w:numPr>
          <w:ilvl w:val="0"/>
          <w:numId w:val="2"/>
        </w:numPr>
        <w:spacing w:after="120" w:line="300"/>
      </w:pPr>
      <w:r>
        <w:rPr>
          <w:rFonts w:ascii="Arial" w:cs="Arial" w:eastAsia="Arial" w:hAnsi="Arial"/>
          <w:sz w:val="22"/>
          <w:szCs w:val="22"/>
        </w:rPr>
        <w:t xml:space="preserve">Data availability: Military emissions data is inconsistently reported across jurisdictions; the 5.5% global estimate includes significant methodological uncertainty.</w:t>
      </w:r>
    </w:p>
    <w:p>
      <w:pPr>
        <w:pStyle w:val="ListParagraph"/>
        <w:numPr>
          <w:ilvl w:val="0"/>
          <w:numId w:val="2"/>
        </w:numPr>
        <w:spacing w:after="120" w:line="300"/>
      </w:pPr>
      <w:r>
        <w:rPr>
          <w:rFonts w:ascii="Arial" w:cs="Arial" w:eastAsia="Arial" w:hAnsi="Arial"/>
          <w:sz w:val="22"/>
          <w:szCs w:val="22"/>
        </w:rPr>
        <w:t xml:space="preserve">Classification constraints: Some of the most relevant dual-use technology programmes are partially or fully classified; this paper draws only on publicly available information.</w:t>
      </w:r>
    </w:p>
    <w:p>
      <w:pPr>
        <w:pStyle w:val="ListParagraph"/>
        <w:numPr>
          <w:ilvl w:val="0"/>
          <w:numId w:val="2"/>
        </w:numPr>
        <w:spacing w:after="120" w:line="300"/>
      </w:pPr>
      <w:r>
        <w:rPr>
          <w:rFonts w:ascii="Arial" w:cs="Arial" w:eastAsia="Arial" w:hAnsi="Arial"/>
          <w:sz w:val="22"/>
          <w:szCs w:val="22"/>
        </w:rPr>
        <w:t xml:space="preserve">Counterfactual uncertainty: It is difficult to isolate the causal contribution of defence procurement to clean technology cost curves, as multiple factors drive cost reduction simultaneously.</w:t>
      </w:r>
    </w:p>
    <w:p>
      <w:pPr>
        <w:pStyle w:val="ListParagraph"/>
        <w:numPr>
          <w:ilvl w:val="0"/>
          <w:numId w:val="2"/>
        </w:numPr>
        <w:spacing w:after="120" w:line="300"/>
      </w:pPr>
      <w:r>
        <w:rPr>
          <w:rFonts w:ascii="Arial" w:cs="Arial" w:eastAsia="Arial" w:hAnsi="Arial"/>
          <w:sz w:val="22"/>
          <w:szCs w:val="22"/>
        </w:rPr>
        <w:t xml:space="preserve">Greenwashing risk: The paper acknowledges the risk that framing defence investment as climate contribution provides political cover for continued weapons proliferation without commensurate climate benefit.</w:t>
      </w:r>
    </w:p>
    <w:p>
      <w:pPr>
        <w:spacing w:after="100"/>
      </w:pPr>
      <w:r>
        <w:t xml:space="preserve"/>
      </w:r>
    </w:p>
    <w:p>
      <w:pPr>
        <w:spacing w:after="200" w:line="320"/>
      </w:pPr>
      <w:r>
        <w:rPr>
          <w:rFonts w:ascii="Arial" w:cs="Arial" w:eastAsia="Arial" w:hAnsi="Arial"/>
          <w:sz w:val="22"/>
          <w:szCs w:val="22"/>
        </w:rPr>
        <w:t xml:space="preserve">AI Tools Disclosure: This white paper was built with the assistance of AI tools for research synthesis, drafting, and formatting. All arguments, policy recommendations, empirical claims, and final editorial decisions are the sole responsibility of the author. This is the fourth white paper published by NextGen Economics, following ‘Sovereign Money as Equity,’ ‘The Alignment Mirage,’ and ‘Blessings Equity: The ARK Foundation.’</w:t>
      </w:r>
    </w:p>
    <w:p>
      <w:r>
        <w:br w:type="page"/>
      </w:r>
    </w:p>
    <w:p>
      <w:pPr>
        <w:pStyle w:val="Heading1"/>
      </w:pPr>
      <w:r>
        <w:t xml:space="preserve">References</w:t>
      </w:r>
    </w:p>
    <w:p>
      <w:pPr>
        <w:spacing w:after="80" w:before="80"/>
      </w:pPr>
      <w:r>
        <w:rPr>
          <w:rFonts w:ascii="Arial" w:cs="Arial" w:eastAsia="Arial" w:hAnsi="Arial"/>
          <w:b/>
          <w:bCs/>
          <w:color w:val="B8860B"/>
          <w:sz w:val="20"/>
          <w:szCs w:val="20"/>
        </w:rPr>
        <w:t xml:space="preserve">1. </w:t>
      </w:r>
      <w:r>
        <w:rPr>
          <w:rFonts w:ascii="Georgia" w:cs="Georgia" w:eastAsia="Georgia" w:hAnsi="Georgia"/>
          <w:color w:val="555555"/>
          <w:sz w:val="20"/>
          <w:szCs w:val="20"/>
        </w:rPr>
        <w:t xml:space="preserve">Costs of War Project. (2023). “The Pentagon’s Carbon Footprint.” Watson Institute, Brown University.</w:t>
      </w:r>
    </w:p>
    <w:p>
      <w:pPr>
        <w:spacing w:after="80" w:before="80"/>
      </w:pPr>
      <w:r>
        <w:rPr>
          <w:rFonts w:ascii="Arial" w:cs="Arial" w:eastAsia="Arial" w:hAnsi="Arial"/>
          <w:b/>
          <w:bCs/>
          <w:color w:val="B8860B"/>
          <w:sz w:val="20"/>
          <w:szCs w:val="20"/>
        </w:rPr>
        <w:t xml:space="preserve">2. </w:t>
      </w:r>
      <w:r>
        <w:rPr>
          <w:rFonts w:ascii="Georgia" w:cs="Georgia" w:eastAsia="Georgia" w:hAnsi="Georgia"/>
          <w:color w:val="555555"/>
          <w:sz w:val="20"/>
          <w:szCs w:val="20"/>
        </w:rPr>
        <w:t xml:space="preserve">SGR/CEOBS. (2022). “Conflict and Environment: Military Greenhouse Gas Emissions.” Scientists for Global Responsibility and Conflict and Environment Observatory.</w:t>
      </w:r>
    </w:p>
    <w:p>
      <w:pPr>
        <w:spacing w:after="80" w:before="80"/>
      </w:pPr>
      <w:r>
        <w:rPr>
          <w:rFonts w:ascii="Arial" w:cs="Arial" w:eastAsia="Arial" w:hAnsi="Arial"/>
          <w:b/>
          <w:bCs/>
          <w:color w:val="B8860B"/>
          <w:sz w:val="20"/>
          <w:szCs w:val="20"/>
        </w:rPr>
        <w:t xml:space="preserve">3. </w:t>
      </w:r>
      <w:r>
        <w:rPr>
          <w:rFonts w:ascii="Georgia" w:cs="Georgia" w:eastAsia="Georgia" w:hAnsi="Georgia"/>
          <w:color w:val="555555"/>
          <w:sz w:val="20"/>
          <w:szCs w:val="20"/>
        </w:rPr>
        <w:t xml:space="preserve">European Commission. (2024). “ReArm Europe: Defence Investment Plan 2024–2030.” European Commission.</w:t>
      </w:r>
    </w:p>
    <w:p>
      <w:pPr>
        <w:spacing w:after="80" w:before="80"/>
      </w:pPr>
      <w:r>
        <w:rPr>
          <w:rFonts w:ascii="Arial" w:cs="Arial" w:eastAsia="Arial" w:hAnsi="Arial"/>
          <w:b/>
          <w:bCs/>
          <w:color w:val="B8860B"/>
          <w:sz w:val="20"/>
          <w:szCs w:val="20"/>
        </w:rPr>
        <w:t xml:space="preserve">4. </w:t>
      </w:r>
      <w:r>
        <w:rPr>
          <w:rFonts w:ascii="Georgia" w:cs="Georgia" w:eastAsia="Georgia" w:hAnsi="Georgia"/>
          <w:color w:val="555555"/>
          <w:sz w:val="20"/>
          <w:szCs w:val="20"/>
        </w:rPr>
        <w:t xml:space="preserve">NATO. (2023). “NATO Climate Change and Security Action Plan.” North Atlantic Treaty Organisation.</w:t>
      </w:r>
    </w:p>
    <w:p>
      <w:pPr>
        <w:spacing w:after="80" w:before="80"/>
      </w:pPr>
      <w:r>
        <w:rPr>
          <w:rFonts w:ascii="Arial" w:cs="Arial" w:eastAsia="Arial" w:hAnsi="Arial"/>
          <w:b/>
          <w:bCs/>
          <w:color w:val="B8860B"/>
          <w:sz w:val="20"/>
          <w:szCs w:val="20"/>
        </w:rPr>
        <w:t xml:space="preserve">5. </w:t>
      </w:r>
      <w:r>
        <w:rPr>
          <w:rFonts w:ascii="Georgia" w:cs="Georgia" w:eastAsia="Georgia" w:hAnsi="Georgia"/>
          <w:color w:val="555555"/>
          <w:sz w:val="20"/>
          <w:szCs w:val="20"/>
        </w:rPr>
        <w:t xml:space="preserve">International Energy Agency. (2024). “Clean Energy Technology Outlook 2024.” IEA.</w:t>
      </w:r>
    </w:p>
    <w:p>
      <w:pPr>
        <w:spacing w:after="80" w:before="80"/>
      </w:pPr>
      <w:r>
        <w:rPr>
          <w:rFonts w:ascii="Arial" w:cs="Arial" w:eastAsia="Arial" w:hAnsi="Arial"/>
          <w:b/>
          <w:bCs/>
          <w:color w:val="B8860B"/>
          <w:sz w:val="20"/>
          <w:szCs w:val="20"/>
        </w:rPr>
        <w:t xml:space="preserve">6. </w:t>
      </w:r>
      <w:r>
        <w:rPr>
          <w:rFonts w:ascii="Georgia" w:cs="Georgia" w:eastAsia="Georgia" w:hAnsi="Georgia"/>
          <w:color w:val="555555"/>
          <w:sz w:val="20"/>
          <w:szCs w:val="20"/>
        </w:rPr>
        <w:t xml:space="preserve">Rheinmetall AG. (2024). “Giga PtX: E-Fuel Production Initiative.” Rheinmetall Corporate Communications.</w:t>
      </w:r>
    </w:p>
    <w:p>
      <w:pPr>
        <w:spacing w:after="80" w:before="80"/>
      </w:pPr>
      <w:r>
        <w:rPr>
          <w:rFonts w:ascii="Arial" w:cs="Arial" w:eastAsia="Arial" w:hAnsi="Arial"/>
          <w:b/>
          <w:bCs/>
          <w:color w:val="B8860B"/>
          <w:sz w:val="20"/>
          <w:szCs w:val="20"/>
        </w:rPr>
        <w:t xml:space="preserve">7. </w:t>
      </w:r>
      <w:r>
        <w:rPr>
          <w:rFonts w:ascii="Georgia" w:cs="Georgia" w:eastAsia="Georgia" w:hAnsi="Georgia"/>
          <w:color w:val="555555"/>
          <w:sz w:val="20"/>
          <w:szCs w:val="20"/>
        </w:rPr>
        <w:t xml:space="preserve">Scandinavian Astor Group. (2024). “Oscilion Partners with Altris on Sodium-Ion Battery Development.” Scandinavian Astor Group Press Release.</w:t>
      </w:r>
    </w:p>
    <w:p>
      <w:pPr>
        <w:spacing w:after="80" w:before="80"/>
      </w:pPr>
      <w:r>
        <w:rPr>
          <w:rFonts w:ascii="Arial" w:cs="Arial" w:eastAsia="Arial" w:hAnsi="Arial"/>
          <w:b/>
          <w:bCs/>
          <w:color w:val="B8860B"/>
          <w:sz w:val="20"/>
          <w:szCs w:val="20"/>
        </w:rPr>
        <w:t xml:space="preserve">8. </w:t>
      </w:r>
      <w:r>
        <w:rPr>
          <w:rFonts w:ascii="Georgia" w:cs="Georgia" w:eastAsia="Georgia" w:hAnsi="Georgia"/>
          <w:color w:val="555555"/>
          <w:sz w:val="20"/>
          <w:szCs w:val="20"/>
        </w:rPr>
        <w:t xml:space="preserve">Altris AB. (2024). “Sodium-Ion Battery Technology for Defence and Civilian Applications.” Altris Corporate Documentation.</w:t>
      </w:r>
    </w:p>
    <w:p>
      <w:pPr>
        <w:spacing w:after="80" w:before="80"/>
      </w:pPr>
      <w:r>
        <w:rPr>
          <w:rFonts w:ascii="Arial" w:cs="Arial" w:eastAsia="Arial" w:hAnsi="Arial"/>
          <w:b/>
          <w:bCs/>
          <w:color w:val="B8860B"/>
          <w:sz w:val="20"/>
          <w:szCs w:val="20"/>
        </w:rPr>
        <w:t xml:space="preserve">9. </w:t>
      </w:r>
      <w:r>
        <w:rPr>
          <w:rFonts w:ascii="Georgia" w:cs="Georgia" w:eastAsia="Georgia" w:hAnsi="Georgia"/>
          <w:color w:val="555555"/>
          <w:sz w:val="20"/>
          <w:szCs w:val="20"/>
        </w:rPr>
        <w:t xml:space="preserve">Saab AB. (2024). “Saab and Midsummer Announce CIGS Solar Factory in Colombia.” Saab Group Press Release.</w:t>
      </w:r>
    </w:p>
    <w:p>
      <w:pPr>
        <w:spacing w:after="80" w:before="80"/>
      </w:pPr>
      <w:r>
        <w:rPr>
          <w:rFonts w:ascii="Arial" w:cs="Arial" w:eastAsia="Arial" w:hAnsi="Arial"/>
          <w:b/>
          <w:bCs/>
          <w:color w:val="B8860B"/>
          <w:sz w:val="20"/>
          <w:szCs w:val="20"/>
        </w:rPr>
        <w:t xml:space="preserve">10. </w:t>
      </w:r>
      <w:r>
        <w:rPr>
          <w:rFonts w:ascii="Georgia" w:cs="Georgia" w:eastAsia="Georgia" w:hAnsi="Georgia"/>
          <w:color w:val="555555"/>
          <w:sz w:val="20"/>
          <w:szCs w:val="20"/>
        </w:rPr>
        <w:t xml:space="preserve">Midsummer AB. (2024). “CIGS Thin-Film Solar Technology: Defence and Civilian Applications.” Midsummer Corporate Documentation.</w:t>
      </w:r>
    </w:p>
    <w:p>
      <w:pPr>
        <w:spacing w:after="80" w:before="80"/>
      </w:pPr>
      <w:r>
        <w:rPr>
          <w:rFonts w:ascii="Arial" w:cs="Arial" w:eastAsia="Arial" w:hAnsi="Arial"/>
          <w:b/>
          <w:bCs/>
          <w:color w:val="B8860B"/>
          <w:sz w:val="20"/>
          <w:szCs w:val="20"/>
        </w:rPr>
        <w:t xml:space="preserve">11. </w:t>
      </w:r>
      <w:r>
        <w:rPr>
          <w:rFonts w:ascii="Georgia" w:cs="Georgia" w:eastAsia="Georgia" w:hAnsi="Georgia"/>
          <w:color w:val="555555"/>
          <w:sz w:val="20"/>
          <w:szCs w:val="20"/>
        </w:rPr>
        <w:t xml:space="preserve">Muon Space. (2024). “Muon Space Secures US Space Force Contract for Dual-Use Climate Monitoring.” Muon Space Press Release.</w:t>
      </w:r>
    </w:p>
    <w:p>
      <w:pPr>
        <w:spacing w:after="80" w:before="80"/>
      </w:pPr>
      <w:r>
        <w:rPr>
          <w:rFonts w:ascii="Arial" w:cs="Arial" w:eastAsia="Arial" w:hAnsi="Arial"/>
          <w:b/>
          <w:bCs/>
          <w:color w:val="B8860B"/>
          <w:sz w:val="20"/>
          <w:szCs w:val="20"/>
        </w:rPr>
        <w:t xml:space="preserve">12. </w:t>
      </w:r>
      <w:r>
        <w:rPr>
          <w:rFonts w:ascii="Georgia" w:cs="Georgia" w:eastAsia="Georgia" w:hAnsi="Georgia"/>
          <w:color w:val="555555"/>
          <w:sz w:val="20"/>
          <w:szCs w:val="20"/>
        </w:rPr>
        <w:t xml:space="preserve">BAE Systems. (2024). “Hybrid Electric Propulsion Systems for Urban Transit.” BAE Systems Corporate Documentation.</w:t>
      </w:r>
    </w:p>
    <w:p>
      <w:pPr>
        <w:spacing w:after="80" w:before="80"/>
      </w:pPr>
      <w:r>
        <w:rPr>
          <w:rFonts w:ascii="Arial" w:cs="Arial" w:eastAsia="Arial" w:hAnsi="Arial"/>
          <w:b/>
          <w:bCs/>
          <w:color w:val="B8860B"/>
          <w:sz w:val="20"/>
          <w:szCs w:val="20"/>
        </w:rPr>
        <w:t xml:space="preserve">13. </w:t>
      </w:r>
      <w:r>
        <w:rPr>
          <w:rFonts w:ascii="Georgia" w:cs="Georgia" w:eastAsia="Georgia" w:hAnsi="Georgia"/>
          <w:color w:val="555555"/>
          <w:sz w:val="20"/>
          <w:szCs w:val="20"/>
        </w:rPr>
        <w:t xml:space="preserve">KONGSBERG. (2024). “Sustainable Materials in Defence Manufacturing: Bio-Composites and Cellulose Nanofibers.” KONGSBERG Corporate Documentation.</w:t>
      </w:r>
    </w:p>
    <w:p>
      <w:pPr>
        <w:spacing w:after="80" w:before="80"/>
      </w:pPr>
      <w:r>
        <w:rPr>
          <w:rFonts w:ascii="Arial" w:cs="Arial" w:eastAsia="Arial" w:hAnsi="Arial"/>
          <w:b/>
          <w:bCs/>
          <w:color w:val="B8860B"/>
          <w:sz w:val="20"/>
          <w:szCs w:val="20"/>
        </w:rPr>
        <w:t xml:space="preserve">14. </w:t>
      </w:r>
      <w:r>
        <w:rPr>
          <w:rFonts w:ascii="Georgia" w:cs="Georgia" w:eastAsia="Georgia" w:hAnsi="Georgia"/>
          <w:color w:val="555555"/>
          <w:sz w:val="20"/>
          <w:szCs w:val="20"/>
        </w:rPr>
        <w:t xml:space="preserve">Vincorion. (2024). “Integrated Renewable Power Systems for Air Defence: Patriot and Iris-T Applications.” Vincorion Corporate Documentation.</w:t>
      </w:r>
    </w:p>
    <w:p>
      <w:pPr>
        <w:spacing w:after="80" w:before="80"/>
      </w:pPr>
      <w:r>
        <w:rPr>
          <w:rFonts w:ascii="Arial" w:cs="Arial" w:eastAsia="Arial" w:hAnsi="Arial"/>
          <w:b/>
          <w:bCs/>
          <w:color w:val="B8860B"/>
          <w:sz w:val="20"/>
          <w:szCs w:val="20"/>
        </w:rPr>
        <w:t xml:space="preserve">15. </w:t>
      </w:r>
      <w:r>
        <w:rPr>
          <w:rFonts w:ascii="Georgia" w:cs="Georgia" w:eastAsia="Georgia" w:hAnsi="Georgia"/>
          <w:color w:val="555555"/>
          <w:sz w:val="20"/>
          <w:szCs w:val="20"/>
        </w:rPr>
        <w:t xml:space="preserve">CALSTART. (2023). “CALSTART’s History: Converting Defence Capacity to Clean Transport.” CALSTART Organisation.</w:t>
      </w:r>
    </w:p>
    <w:p>
      <w:pPr>
        <w:spacing w:after="80" w:before="80"/>
      </w:pPr>
      <w:r>
        <w:rPr>
          <w:rFonts w:ascii="Arial" w:cs="Arial" w:eastAsia="Arial" w:hAnsi="Arial"/>
          <w:b/>
          <w:bCs/>
          <w:color w:val="B8860B"/>
          <w:sz w:val="20"/>
          <w:szCs w:val="20"/>
        </w:rPr>
        <w:t xml:space="preserve">16. </w:t>
      </w:r>
      <w:r>
        <w:rPr>
          <w:rFonts w:ascii="Georgia" w:cs="Georgia" w:eastAsia="Georgia" w:hAnsi="Georgia"/>
          <w:color w:val="555555"/>
          <w:sz w:val="20"/>
          <w:szCs w:val="20"/>
        </w:rPr>
        <w:t xml:space="preserve">German Federal Ministry of Defence. (2024). “Bundeswehr Sustainability Strategy 2024.” Bundesministerium der Verteidigung.</w:t>
      </w:r>
    </w:p>
    <w:p>
      <w:pPr>
        <w:spacing w:after="80" w:before="80"/>
      </w:pPr>
      <w:r>
        <w:rPr>
          <w:rFonts w:ascii="Arial" w:cs="Arial" w:eastAsia="Arial" w:hAnsi="Arial"/>
          <w:b/>
          <w:bCs/>
          <w:color w:val="B8860B"/>
          <w:sz w:val="20"/>
          <w:szCs w:val="20"/>
        </w:rPr>
        <w:t xml:space="preserve">17. </w:t>
      </w:r>
      <w:r>
        <w:rPr>
          <w:rFonts w:ascii="Georgia" w:cs="Georgia" w:eastAsia="Georgia" w:hAnsi="Georgia"/>
          <w:color w:val="555555"/>
          <w:sz w:val="20"/>
          <w:szCs w:val="20"/>
        </w:rPr>
        <w:t xml:space="preserve">World Economic Forum. (2024). “Net Zero Industry Tracker: Defence Sector.” WEF.</w:t>
      </w:r>
    </w:p>
    <w:p>
      <w:pPr>
        <w:spacing w:after="80" w:before="80"/>
      </w:pPr>
      <w:r>
        <w:rPr>
          <w:rFonts w:ascii="Arial" w:cs="Arial" w:eastAsia="Arial" w:hAnsi="Arial"/>
          <w:b/>
          <w:bCs/>
          <w:color w:val="B8860B"/>
          <w:sz w:val="20"/>
          <w:szCs w:val="20"/>
        </w:rPr>
        <w:t xml:space="preserve">18. </w:t>
      </w:r>
      <w:r>
        <w:rPr>
          <w:rFonts w:ascii="Georgia" w:cs="Georgia" w:eastAsia="Georgia" w:hAnsi="Georgia"/>
          <w:color w:val="555555"/>
          <w:sz w:val="20"/>
          <w:szCs w:val="20"/>
        </w:rPr>
        <w:t xml:space="preserve">BloombergNEF. (2024). “Electric Military Vehicle Market Outlook 2030.” BloombergNEF.</w:t>
      </w:r>
    </w:p>
    <w:p>
      <w:pPr>
        <w:spacing w:after="80" w:before="80"/>
      </w:pPr>
      <w:r>
        <w:rPr>
          <w:rFonts w:ascii="Arial" w:cs="Arial" w:eastAsia="Arial" w:hAnsi="Arial"/>
          <w:b/>
          <w:bCs/>
          <w:color w:val="B8860B"/>
          <w:sz w:val="20"/>
          <w:szCs w:val="20"/>
        </w:rPr>
        <w:t xml:space="preserve">19. </w:t>
      </w:r>
      <w:r>
        <w:rPr>
          <w:rFonts w:ascii="Georgia" w:cs="Georgia" w:eastAsia="Georgia" w:hAnsi="Georgia"/>
          <w:color w:val="555555"/>
          <w:sz w:val="20"/>
          <w:szCs w:val="20"/>
        </w:rPr>
        <w:t xml:space="preserve">Wood Mackenzie. (2024). “Synthetic Fuels Market Forecast 2024–2030.” Wood Mackenzie.</w:t>
      </w:r>
    </w:p>
    <w:p>
      <w:pPr>
        <w:spacing w:after="80" w:before="80"/>
      </w:pPr>
      <w:r>
        <w:rPr>
          <w:rFonts w:ascii="Arial" w:cs="Arial" w:eastAsia="Arial" w:hAnsi="Arial"/>
          <w:b/>
          <w:bCs/>
          <w:color w:val="B8860B"/>
          <w:sz w:val="20"/>
          <w:szCs w:val="20"/>
        </w:rPr>
        <w:t xml:space="preserve">20. </w:t>
      </w:r>
      <w:r>
        <w:rPr>
          <w:rFonts w:ascii="Georgia" w:cs="Georgia" w:eastAsia="Georgia" w:hAnsi="Georgia"/>
          <w:color w:val="555555"/>
          <w:sz w:val="20"/>
          <w:szCs w:val="20"/>
        </w:rPr>
        <w:t xml:space="preserve">MarketsandMarkets. (2024). “Climate Technology Market Size and Forecast 2024–2034.” MarketsandMarkets.</w:t>
      </w:r>
    </w:p>
    <w:p>
      <w:pPr>
        <w:spacing w:after="80" w:before="80"/>
      </w:pPr>
      <w:r>
        <w:rPr>
          <w:rFonts w:ascii="Arial" w:cs="Arial" w:eastAsia="Arial" w:hAnsi="Arial"/>
          <w:b/>
          <w:bCs/>
          <w:color w:val="B8860B"/>
          <w:sz w:val="20"/>
          <w:szCs w:val="20"/>
        </w:rPr>
        <w:t xml:space="preserve">21. </w:t>
      </w:r>
      <w:r>
        <w:rPr>
          <w:rFonts w:ascii="Georgia" w:cs="Georgia" w:eastAsia="Georgia" w:hAnsi="Georgia"/>
          <w:color w:val="555555"/>
          <w:sz w:val="20"/>
          <w:szCs w:val="20"/>
        </w:rPr>
        <w:t xml:space="preserve">US Department of Defense. (2023). “DoD Climate Risk Analysis.” Office of the Secretary of Defense.</w:t>
      </w:r>
    </w:p>
    <w:p>
      <w:pPr>
        <w:spacing w:after="80" w:before="80"/>
      </w:pPr>
      <w:r>
        <w:rPr>
          <w:rFonts w:ascii="Arial" w:cs="Arial" w:eastAsia="Arial" w:hAnsi="Arial"/>
          <w:b/>
          <w:bCs/>
          <w:color w:val="B8860B"/>
          <w:sz w:val="20"/>
          <w:szCs w:val="20"/>
        </w:rPr>
        <w:t xml:space="preserve">22. </w:t>
      </w:r>
      <w:r>
        <w:rPr>
          <w:rFonts w:ascii="Georgia" w:cs="Georgia" w:eastAsia="Georgia" w:hAnsi="Georgia"/>
          <w:color w:val="555555"/>
          <w:sz w:val="20"/>
          <w:szCs w:val="20"/>
        </w:rPr>
        <w:t xml:space="preserve">UK Ministry of Defence. (2024). “Climate Change and Sustainability Strategic Approach.” UK MOD.</w:t>
      </w:r>
    </w:p>
    <w:p>
      <w:pPr>
        <w:spacing w:after="80" w:before="80"/>
      </w:pPr>
      <w:r>
        <w:rPr>
          <w:rFonts w:ascii="Arial" w:cs="Arial" w:eastAsia="Arial" w:hAnsi="Arial"/>
          <w:b/>
          <w:bCs/>
          <w:color w:val="B8860B"/>
          <w:sz w:val="20"/>
          <w:szCs w:val="20"/>
        </w:rPr>
        <w:t xml:space="preserve">23. </w:t>
      </w:r>
      <w:r>
        <w:rPr>
          <w:rFonts w:ascii="Georgia" w:cs="Georgia" w:eastAsia="Georgia" w:hAnsi="Georgia"/>
          <w:color w:val="555555"/>
          <w:sz w:val="20"/>
          <w:szCs w:val="20"/>
        </w:rPr>
        <w:t xml:space="preserve">Turkish Defence Industries. (2024). “UAV Applications in Precision Agriculture: Defence Technology Transfer.” SSB Corporate Communications.</w:t>
      </w:r>
    </w:p>
    <w:p>
      <w:pPr>
        <w:spacing w:after="80" w:before="80"/>
      </w:pPr>
      <w:r>
        <w:rPr>
          <w:rFonts w:ascii="Arial" w:cs="Arial" w:eastAsia="Arial" w:hAnsi="Arial"/>
          <w:b/>
          <w:bCs/>
          <w:color w:val="B8860B"/>
          <w:sz w:val="20"/>
          <w:szCs w:val="20"/>
        </w:rPr>
        <w:t xml:space="preserve">24. </w:t>
      </w:r>
      <w:r>
        <w:rPr>
          <w:rFonts w:ascii="Georgia" w:cs="Georgia" w:eastAsia="Georgia" w:hAnsi="Georgia"/>
          <w:color w:val="555555"/>
          <w:sz w:val="20"/>
          <w:szCs w:val="20"/>
        </w:rPr>
        <w:t xml:space="preserve">Patterson, D., et al. (2021). “Carbon Considerations for Large Language Model Training.” Google Research. [Cited for AI energy methodology reference.]</w:t>
      </w:r>
    </w:p>
    <w:p>
      <w:pPr>
        <w:spacing w:after="80" w:before="80"/>
      </w:pPr>
      <w:r>
        <w:rPr>
          <w:rFonts w:ascii="Arial" w:cs="Arial" w:eastAsia="Arial" w:hAnsi="Arial"/>
          <w:b/>
          <w:bCs/>
          <w:color w:val="B8860B"/>
          <w:sz w:val="20"/>
          <w:szCs w:val="20"/>
        </w:rPr>
        <w:t xml:space="preserve">25. </w:t>
      </w:r>
      <w:r>
        <w:rPr>
          <w:rFonts w:ascii="Georgia" w:cs="Georgia" w:eastAsia="Georgia" w:hAnsi="Georgia"/>
          <w:color w:val="555555"/>
          <w:sz w:val="20"/>
          <w:szCs w:val="20"/>
        </w:rPr>
        <w:t xml:space="preserve">Intergovernmental Panel on Climate Change. (2023). “Sixth Assessment Report: Climate Change Mitigation.” IPCC.</w:t>
      </w:r>
    </w:p>
    <w:p>
      <w:r>
        <w:br w:type="page"/>
      </w:r>
    </w:p>
    <w:p>
      <w:pPr>
        <w:pStyle w:val="Heading1"/>
      </w:pPr>
      <w:r>
        <w:t xml:space="preserve">About the Author</w:t>
      </w:r>
    </w:p>
    <w:p>
      <w:pPr>
        <w:spacing w:after="200" w:line="320"/>
      </w:pPr>
      <w:r>
        <w:rPr>
          <w:rFonts w:ascii="Arial" w:cs="Arial" w:eastAsia="Arial" w:hAnsi="Arial"/>
          <w:sz w:val="22"/>
          <w:szCs w:val="22"/>
        </w:rPr>
        <w:t xml:space="preserve">Pawan Bhatia is the founder of NextGen Economics, an independent research platform publishing long-horizon analysis on capital, technology, and the forces shaping the next decade of wealth creation.</w:t>
      </w:r>
    </w:p>
    <w:p>
      <w:pPr>
        <w:spacing w:after="200" w:line="320"/>
      </w:pPr>
      <w:r>
        <w:rPr>
          <w:rFonts w:ascii="Arial" w:cs="Arial" w:eastAsia="Arial" w:hAnsi="Arial"/>
          <w:sz w:val="22"/>
          <w:szCs w:val="22"/>
        </w:rPr>
        <w:t xml:space="preserve">His work is guided by a singular vision: a world in which the quality and distribution of economic thinking is radically improved — a 1Q world, in which better questions lead to better outcomes. The Climate Solution Paradox is the fourth paper in that project.</w:t>
      </w:r>
    </w:p>
    <w:p>
      <w:pPr>
        <w:spacing w:after="200" w:line="320"/>
      </w:pPr>
      <w:r>
        <w:rPr>
          <w:rFonts w:ascii="Arial" w:cs="Arial" w:eastAsia="Arial" w:hAnsi="Arial"/>
          <w:sz w:val="22"/>
          <w:szCs w:val="22"/>
        </w:rPr>
        <w:t xml:space="preserve">This paper was built with the assistance of AI tools for research synthesis, drafting, and formatting. All arguments, policy recommendations, and editorial decisions are the author’s own.</w:t>
      </w:r>
    </w:p>
    <w:p>
      <w:pPr>
        <w:spacing w:after="200" w:line="320"/>
      </w:pPr>
      <w:r>
        <w:rPr>
          <w:rFonts w:ascii="Arial" w:cs="Arial" w:eastAsia="Arial" w:hAnsi="Arial"/>
          <w:sz w:val="22"/>
          <w:szCs w:val="22"/>
        </w:rPr>
        <w:t xml:space="preserve">Contact: pawan.bhatia@nextgeneconomics.com · www.nextgeneconomics.com</w:t>
      </w:r>
    </w:p>
    <w:p>
      <w:pPr>
        <w:spacing w:after="200"/>
      </w:pPr>
      <w:r>
        <w:t xml:space="preserve"/>
      </w:r>
    </w:p>
    <w:p>
      <w:pPr>
        <w:pStyle w:val="Heading1"/>
      </w:pPr>
      <w:r>
        <w:t xml:space="preserve">Publisher’s Note</w:t>
      </w:r>
    </w:p>
    <w:p>
      <w:pPr>
        <w:spacing w:after="200" w:line="320"/>
      </w:pPr>
      <w:r>
        <w:rPr>
          <w:rFonts w:ascii="Arial" w:cs="Arial" w:eastAsia="Arial" w:hAnsi="Arial"/>
          <w:sz w:val="22"/>
          <w:szCs w:val="22"/>
        </w:rPr>
        <w:t xml:space="preserve">NextGen Economics is an independent research platform dedicated to producing evidence-based, accessible, and actionable research on the societal implications of technological and economic change. No corporate funding, advisory relationships, defence industry relationships, or consulting engagements influenced the analysis or conclusions presented in this document.</w:t>
      </w:r>
    </w:p>
    <w:p>
      <w:pPr>
        <w:spacing w:after="200" w:line="320"/>
      </w:pPr>
      <w:r>
        <w:rPr>
          <w:rFonts w:ascii="Arial" w:cs="Arial" w:eastAsia="Arial" w:hAnsi="Arial"/>
          <w:sz w:val="22"/>
          <w:szCs w:val="22"/>
        </w:rPr>
        <w:t xml:space="preserve">This white paper is the fourth in our series on ‘The Governance of Emerging Technologies and Capital,’ following ‘Sovereign Money as Equity,’ ‘The Alignment Mirage,’ and ‘Blessings Equity: The ARK Foundation.’</w:t>
      </w:r>
    </w:p>
    <w:p>
      <w:pPr>
        <w:spacing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NGE · NEXTGEN ECONOMICS</w:t>
            </w:r>
          </w:p>
          <w:p>
            <w:pPr>
              <w:spacing w:line="300"/>
            </w:pPr>
            <w:r>
              <w:rPr>
                <w:rFonts w:ascii="Arial" w:cs="Arial" w:eastAsia="Arial" w:hAnsi="Arial"/>
                <w:i/>
                <w:iCs/>
                <w:sz w:val="22"/>
                <w:szCs w:val="22"/>
              </w:rPr>
              <w:t xml:space="preserve">Long-horizon thinking on capital, technology, and the forces shaping the next decade of wealth creation. Written from first principles. Not consensus. Not noise. — Pawan Bhatia · NextGen Economics · Bangalore, India · July 2026</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pPr>
    <w:rPr>
      <w:rFonts w:ascii="Arial" w:cs="Arial" w:eastAsia="Arial" w:hAnsi="Arial"/>
      <w:b/>
      <w:bCs/>
      <w:color w:val="0A2540"/>
      <w:sz w:val="36"/>
      <w:szCs w:val="36"/>
    </w:rPr>
  </w:style>
  <w:style w:type="paragraph" w:styleId="Heading2">
    <w:name w:val="Heading 2"/>
    <w:basedOn w:val="Normal"/>
    <w:next w:val="Normal"/>
    <w:qFormat/>
    <w:pPr>
      <w:spacing w:after="120" w:before="320"/>
    </w:pPr>
    <w:rPr>
      <w:rFonts w:ascii="Arial" w:cs="Arial" w:eastAsia="Arial" w:hAnsi="Arial"/>
      <w:b/>
      <w:bCs/>
      <w:color w:val="0A2540"/>
      <w:sz w:val="26"/>
      <w:szCs w:val="26"/>
    </w:rPr>
  </w:style>
  <w:style w:type="paragraph" w:styleId="Heading3">
    <w:name w:val="Heading 3"/>
    <w:basedOn w:val="Normal"/>
    <w:next w:val="Normal"/>
    <w:qFormat/>
    <w:pPr>
      <w:spacing w:after="80" w:before="240"/>
    </w:pPr>
    <w:rPr>
      <w:rFonts w:ascii="Arial" w:cs="Arial" w:eastAsia="Arial" w:hAnsi="Arial"/>
      <w:b/>
      <w:bCs/>
      <w:i/>
      <w:iCs/>
      <w:color w:val="555555"/>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2026-07-02T13:04:08.663Z</dcterms:created>
  <dcterms:modified xsi:type="dcterms:W3CDTF">2026-07-02T13:04:08.664Z</dcterms:modified>
</cp:coreProperties>
</file>

<file path=docProps/custom.xml><?xml version="1.0" encoding="utf-8"?>
<Properties xmlns="http://schemas.openxmlformats.org/officeDocument/2006/custom-properties" xmlns:vt="http://schemas.openxmlformats.org/officeDocument/2006/docPropsVTypes"/>
</file>