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4D7B"/>
          <w:sz w:val="18"/>
        </w:rPr>
        <w:t>NGE · Fifteenth White Paper · International Economics &amp; External Balance · October 2026</w:t>
      </w:r>
    </w:p>
    <w:p>
      <w:pPr>
        <w:jc w:val="center"/>
      </w:pPr>
      <w:r>
        <w:rPr>
          <w:rFonts w:ascii="Georgia" w:hAnsi="Georgia"/>
          <w:b/>
          <w:color w:val="0D1F2D"/>
          <w:sz w:val="60"/>
        </w:rPr>
        <w:t>The Borrowed Balance</w:t>
      </w:r>
    </w:p>
    <w:p>
      <w:pPr>
        <w:jc w:val="center"/>
      </w:pPr>
      <w:r>
        <w:rPr>
          <w:i/>
          <w:color w:val="1A1A1A"/>
          <w:sz w:val="28"/>
        </w:rPr>
        <w:t>Current Account Deficits, Sudden Stops, and the Real Cost of External Imbalance</w:t>
      </w:r>
    </w:p>
    <w:p>
      <w:pPr>
        <w:jc w:val="center"/>
      </w:pPr>
      <w:r>
        <w:rPr>
          <w:color w:val="6B6B6B"/>
          <w:sz w:val="18"/>
        </w:rPr>
        <w:t>Pawan Bhatia · NextGen Economics · Bangalore, India · October 2026</w:t>
      </w:r>
    </w:p>
    <w:p>
      <w:r>
        <w:br w:type="page"/>
      </w:r>
    </w:p>
    <w:p>
      <w:r>
        <w:rPr>
          <w:i/>
          <w:color w:val="6B6B6B"/>
          <w:sz w:val="18"/>
        </w:rPr>
        <w:t>Compiled with the assistance of AI tools for research synthesis and drafting, from an original policy-framework draft prepared for NextGen Economics, and reviewed by NextGen Economics. This is the fifteenth white paper published by NextGen Economics, in its first draft.</w:t>
      </w:r>
    </w:p>
    <w:p>
      <w:r>
        <w:rPr>
          <w:i/>
          <w:color w:val="6B6B6B"/>
          <w:sz w:val="18"/>
        </w:rPr>
        <w:t>Compiled with the assistance of AI tools for research synthesis and drafting, from an original policy-framework draft prepared for NextGen Economics, and reviewed by NextGen Economics. This is the fifteenth white paper published by NextGen Economics, in its first draft.</w:t>
      </w:r>
    </w:p>
    <w:p>
      <w:pPr>
        <w:pStyle w:val="Heading1"/>
      </w:pPr>
      <w:r>
        <w:rPr>
          <w:color w:val="0D1F2D"/>
        </w:rPr>
        <w:t>Executive Summary</w:t>
      </w:r>
    </w:p>
    <w:p>
      <w:r>
        <w:t>In 2025, the United States ran a current account deficit equal to roughly 0.9% of world GDP — "by far the world's largest," in the IMF's own words, and larger than the combined surpluses of China and the entire euro area. China's surplus, meanwhile, widened by approximately $300 billion in a single year, reaching about 0.6% of world GDP — the largest one-year widening in absolute terms since at least 2000. The Bank of England's own 2026 analysis, spanning data back to 1870, concludes that global current account imbalances are now "near their highest levels in 150 years." This is not a claim about any one country behaving badly. It is a claim about a global system in which savings and spending have drifted further apart, across more countries, for longer, than at almost any point in the historical record — and history's own record of what happens when that drift reverses suddenly is not reassuring.</w:t>
      </w:r>
    </w:p>
    <w:p>
      <w:r>
        <w:t>A current account deficit means a country is spending more, collectively, than it earns from the rest of the world — buying more goods, services and income flows from abroad than it sells — and financing the gap by attracting foreign capital or running down its own reserves. That financing is, by construction, someone else's choice to keep lending. When a large share of it is short-term, foreign-currency-denominated, or held by investors who can leave in days rather than years, the arrangement can unwind with a violence wildly out of proportion to the economic mismanagement, if any, that caused it. India in 2013, Turkey in 2018, and Sri Lanka in 2022 are three different versions of exactly that unwind — a fragile-financing current account deficit meeting a sudden shift in global risk appetite, a domestic policy shock, or both, with currency collapse, imported inflation, and in Sri Lanka's case a sovereign default and constitutional crisis as the result. China and Germany show the other side: what a persistent, well-financed surplus looks like, and the different but real costs of over-saving instead of over-spending.</w:t>
      </w:r>
    </w:p>
    <w:p>
      <w:r>
        <w:t>This paper sets out the accounting identity beneath a current account deficit, quantifies the present scale of global imbalance against the Bank of England's 150-year benchmark, walks through four deficit crises and three surplus machines by name, catalogues the conventional policy toolkit and its well-documented limits (including why tariffs, the most politically popular tool, are also the one with the weakest empirical record), and reviews seven real interventions that measurably worked — most strikingly India's 2013 FCNR(B) swap window, revived in June 2026 on a larger scale to defend the rupee against a second currency shock, an unusually direct case of a government re-running its own successful playbook a decade later. It closes with an eight-pillar solutions framework, a nine-step diagnostic methodology for assessing any country's external vulnerability, and an original composite metric — the External Sustainability Score — for comparing countries on financing quality, reserve buffers, and competitiveness at once, rather than on the headline deficit number alone.</w:t>
      </w:r>
    </w:p>
    <w:p>
      <w:r>
        <w:t>Two threads run through every case study in this paper and are worth naming at the outset, because they recur so consistently that this paper treats them as close to load-bearing conclusions rather than incidental observations. First, the countries that fared best — India twice, South Korea, Chile — share a common feature: a specific, pre-designed or rapidly assembled mechanism for responding to the shock, deployed with political commitment sustained long enough to work, rather than a superior diagnosis of the problem alone; every government examined in this paper's case studies, including Argentina's repeatedly, broadly understood what was wrong. Second, the distinction between a deficit financed by patient capital and one financed by capital that can leave within days is, on the evidence assembled here, a better predictor of crisis severity than the headline size of the deficit itself — a finding with direct implications for how deficits should be monitored, set out in full in Part VIII.</w:t>
      </w:r>
    </w:p>
    <w:p>
      <w:pPr>
        <w:pStyle w:val="Heading1"/>
      </w:pPr>
      <w:r>
        <w:rPr>
          <w:color w:val="0D1F2D"/>
        </w:rPr>
        <w:t>How to Read This Paper</w:t>
      </w:r>
    </w:p>
    <w:p>
      <w:r>
        <w:t>NGE's standard practice is to verify before publishing, name what could not be verified, and correct errors in public when found. This paper mixes three different kinds of claims, and they should be read differently.</w:t>
      </w:r>
    </w:p>
    <w:p>
      <w:r>
        <w:t>Established, citable research and data: the IMF's 2026 External Sector Report figures (Part II), the Bank of England's 150-year imbalance analysis (Part II), the India, Turkey, Sri Lanka, South Korea and Germany case-study figures (Parts III, IV and the real-evidence section), and the accounting identity in Part I are drawn from named public sources — IMF and Bank of England publications, national treasury and central bank releases, and contemporaneous reporting from named outlets — and are cited in the References section. Where a figure is a range, an estimate, or drawn from a single source without independent replication, this paper says so explicitly rather than presenting it as a settled fact.</w:t>
      </w:r>
    </w:p>
    <w:p>
      <w:r>
        <w:t>This paper's own framing and synthesis: the grouping of three countries as "hit the wall" and two as having "built the machine," the characterisation of any single policy response as broadly transferable, and the narrative connecting separate national episodes into a single argument are this paper's own editorial construction, not a finding attributed to any cited source.</w:t>
      </w:r>
    </w:p>
    <w:p>
      <w:r>
        <w:t>This paper's own proposal: the eight-pillar solutions framework in Part VII, the practical diagnostic methodology in Part VIII, and the External Sustainability Score (ESS) introduced in Part X are original to this paper. None is an existing IMF programme condition, credit-rating methodology, or third-party index, though each draws directly on the logic of tools — the IMF's own reserve-adequacy metrics chief among them — that already exist. The worked ESS example is illustrative, built to demonstrate the mechanic, not a validated measurement of any real country.</w:t>
      </w:r>
    </w:p>
    <w:p>
      <w:pPr>
        <w:pStyle w:val="Heading1"/>
      </w:pPr>
      <w:r>
        <w:rPr>
          <w:color w:val="0D1F2D"/>
        </w:rPr>
        <w:t>Part I — What a Current Account Deficit Actually Is</w:t>
      </w:r>
    </w:p>
    <w:p>
      <w:r>
        <w:t>Observation: "current account deficit" is routinely used in political debate as shorthand for national decline, profligacy, or being taken advantage of by trading partners. Evidence: the actual definition is narrower and more mechanical. The current account records three flows between a country and the rest of the world over a period: the trade balance (exports minus imports of goods and services), net primary income (interest, dividends and wages earned from or paid to foreigners), and net secondary income (transfers such as remittances and foreign aid, with nothing owed in return). A current account deficit simply means these three flows, summed, are negative — the country is a net buyer from, and net debtor to, the rest of the world over that period. Insight: by the balance-of-payments identity, that deficit must be financed, exactly, by an offsetting surplus on the capital and financial account — foreign purchases of the country's bonds, equities, property, bank deposits, or direct investment, or a drawdown of the country's own foreign exchange reserves. There is no such thing as an unfinanced current account deficit; the only question is who is financing it, on what terms, and for how long they are willing to keep doing so. Implication: a current account deficit is therefore never purely a trade story. It is always simultaneously a capital-flows story, and the second half of that sentence — who is lending, and how easily they can stop — is usually the half that determines whether a deficit is a stable, decades-long feature of a growing economy or the fuse on a currency crisis.</w:t>
      </w:r>
    </w:p>
    <w:p>
      <w:r>
        <w:t>The cleanest way to see why a deficit forms is the savings-investment identity, which follows directly from national income accounting and holds by definition, not by theory or ideology:</w:t>
      </w:r>
    </w:p>
    <w:p>
      <w:pPr>
        <w:ind w:left="360"/>
      </w:pPr>
      <w:r>
        <w:rPr>
          <w:b/>
          <w:color w:val="1E4D7B"/>
          <w:sz w:val="18"/>
        </w:rPr>
        <w:t>The Identity That Explains Almost Everything in This Paper</w:t>
        <w:br/>
      </w:r>
      <w:r>
        <w:rPr>
          <w:i/>
          <w:sz w:val="21"/>
        </w:rPr>
        <w:t xml:space="preserve">Current Account Balance = (Private Saving − Private Investment) + (Government Revenue − Government Spending), often written as CAD = (S − I) + (T − G). A country runs a current account deficit when, taken together, its households and firms save less than they invest, its government spends more than it collects in revenue, or — most commonly, and most dangerously — both at once. This is the "twin deficits" pattern: a fiscal deficit and a current account deficit moving together, visible in the United States through 2025 (a current account deficit "reflecting sustained low saving, with the fiscal balance deep in deficit," in the IMF's own words) and in Turkey before 2018, Argentina repeatedly, and dozens of other episodes across the last fifty years. It is an accounting identity, not a forecast: it says nothing about whether the underlying investment is productive (a deficit funding new export capacity is a very different animal from one funding a consumption boom), only that the arithmetic must balance somewhere.  </w:t>
      </w:r>
    </w:p>
    <w:p>
      <w:r>
        <w:t>This is also why the common political framing of a current account deficit as something "done to" a country by unfair trading partners is, at minimum, incomplete. A deficit is the joint product of a country's own saving and investment decisions and its government's fiscal stance, alongside its trading partners' saving and investment decisions — Part V returns to this in more depth once the scale of the present imbalance has been established.</w:t>
      </w:r>
    </w:p>
    <w:p>
      <w:pPr>
        <w:pStyle w:val="Heading2"/>
      </w:pPr>
      <w:r>
        <w:rPr>
          <w:color w:val="1A1A1A"/>
        </w:rPr>
        <w:t>1.2 A Worked Numerical Example</w:t>
      </w:r>
    </w:p>
    <w:p>
      <w:r>
        <w:t>The identity is easiest to see with illustrative, rounded numbers. Consider a hypothetical economy with GDP of $1 trillion, in which households and firms save $180 billion and invest $230 billion (private investment exceeding private saving by $50 billion), while the government collects $250 billion in revenue and spends $280 billion (a fiscal deficit of $30 billion). By the identity in the callout above, this economy's current account balance is (180 − 230) + (250 − 280) = (−50) + (−30) = −$80 billion, an 8% of GDP current account deficit — a scale comparable to Turkey's pre-2018 position. That $80 billion is not an abstraction; it is the exact dollar amount of foreign capital that must flow into the country that year, whether as FDI, portfolio investment, bank lending, or reserve drawdown, for the economy's books to balance at all. If foreign investors decide, for any reason connected to this economy or entirely unconnected to it (a shift in a completely different country's interest rates, for instance, as Part III's India case shows), to provide less than $80 billion that year, something in the identity must adjust — a currency depreciation that reduces the trade deficit, a recession that reduces private investment, or a fiscal contraction that narrows the government's own deficit. This is, in miniature, the entire adjustment mechanism examined in Part VI.</w:t>
      </w:r>
    </w:p>
    <w:p>
      <w:pPr>
        <w:pStyle w:val="Heading1"/>
      </w:pPr>
      <w:r>
        <w:rPr>
          <w:color w:val="0D1F2D"/>
        </w:rPr>
        <w:t>Part II — The Scale of Today's Imbalances</w:t>
      </w:r>
    </w:p>
    <w:p>
      <w:pPr>
        <w:ind w:left="360"/>
      </w:pPr>
      <w:r>
        <w:rPr>
          <w:b/>
          <w:color w:val="1E4D7B"/>
          <w:sz w:val="18"/>
        </w:rPr>
        <w:t>Key Terms Used Throughout This Paper</w:t>
        <w:br/>
      </w:r>
      <w:r>
        <w:rPr>
          <w:i/>
          <w:sz w:val="21"/>
        </w:rPr>
        <w:t xml:space="preserve">Sudden stop: an abrupt, large reversal of capital inflows to a country, typically triggered by a shift in global risk appetite, a domestic shock, or both — the mechanism behind all four of Part III's case studies. Twin deficits: a fiscal deficit and a current account deficit moving together, per the identity in Part I. Reserve adequacy: the sufficiency of a country's foreign exchange reserves against a defined benchmark, commonly months of import cover or, as this paper argues is more informative for financing-driven risk, short-term external debt coming due. Expenditure-switching vs. expenditure-reducing: the two broad families of adjustment tool set out in Part VI — switching demand between domestic and foreign goods (chiefly via the exchange rate) versus reducing overall domestic demand (chiefly via fiscal and monetary tightening). Exorbitant privilege: the cost advantage a reserve-currency issuer, the United States chief among them today, enjoys from the rest of the world's structural demand to hold its currency as reserves.  </w:t>
      </w:r>
    </w:p>
    <w:p>
      <w:pPr>
        <w:pStyle w:val="Heading2"/>
      </w:pPr>
      <w:r>
        <w:rPr>
          <w:color w:val="1A1A1A"/>
        </w:rPr>
        <w:t>2.1 The 2025 Numbers, as the IMF and Bank of England See Them</w:t>
      </w:r>
    </w:p>
    <w:p>
      <w:r>
        <w:t>The IMF's 2026 External Sector Report, examining 2025 external positions, finds that global current account gaps — the sum of deficits and surpluses judged larger than economic fundamentals would justify — widened further, led by the same two economies that have anchored the story for a decade. The United States ran a current account deficit equal to approximately 0.9% of world GDP in 2025, described by the Fund as "by far the world's largest" and, notably, larger than the combined surpluses of China and the entire euro area put together. China's surplus widened by roughly $300 billion over the year, reaching about 0.6% of world GDP — the largest one-year absolute widening the IMF has recorded since at least 2000. The Fund attributes the widening on the Chinese side to weakening domestic investment (concentrated in real estate, manufacturing and infrastructure) running alongside structurally high private saving, and attributes the U.S. deficit to persistently low national saving with the fiscal balance deep in deficit — precisely the twin-deficit mechanic set out in Part I.</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Economy</w:t>
            </w:r>
          </w:p>
        </w:tc>
        <w:tc>
          <w:tcPr>
            <w:tcW w:type="dxa" w:w="2160"/>
          </w:tcPr>
          <w:p>
            <w:r>
              <w:rPr>
                <w:b/>
              </w:rPr>
              <w:t>2025 External Position</w:t>
            </w:r>
          </w:p>
        </w:tc>
        <w:tc>
          <w:tcPr>
            <w:tcW w:type="dxa" w:w="2160"/>
          </w:tcPr>
          <w:p>
            <w:r>
              <w:rPr>
                <w:b/>
              </w:rPr>
              <w:t>Share of World GDP</w:t>
            </w:r>
          </w:p>
        </w:tc>
        <w:tc>
          <w:tcPr>
            <w:tcW w:type="dxa" w:w="2160"/>
          </w:tcPr>
          <w:p>
            <w:r>
              <w:rPr>
                <w:b/>
              </w:rPr>
              <w:t>IMF Characterisation</w:t>
            </w:r>
          </w:p>
        </w:tc>
      </w:tr>
      <w:tr>
        <w:tc>
          <w:tcPr>
            <w:tcW w:type="dxa" w:w="2160"/>
          </w:tcPr>
          <w:p>
            <w:r>
              <w:t>United States</w:t>
            </w:r>
          </w:p>
        </w:tc>
        <w:tc>
          <w:tcPr>
            <w:tcW w:type="dxa" w:w="2160"/>
          </w:tcPr>
          <w:p>
            <w:r>
              <w:t>Current account deficit</w:t>
            </w:r>
          </w:p>
        </w:tc>
        <w:tc>
          <w:tcPr>
            <w:tcW w:type="dxa" w:w="2160"/>
          </w:tcPr>
          <w:p>
            <w:r>
              <w:t>~0.9%</w:t>
            </w:r>
          </w:p>
        </w:tc>
        <w:tc>
          <w:tcPr>
            <w:tcW w:type="dxa" w:w="2160"/>
          </w:tcPr>
          <w:p>
            <w:r>
              <w:t>"By far the world's largest"; exceeds combined China + euro-area surplus</w:t>
            </w:r>
          </w:p>
        </w:tc>
      </w:tr>
      <w:tr>
        <w:tc>
          <w:tcPr>
            <w:tcW w:type="dxa" w:w="2160"/>
          </w:tcPr>
          <w:p>
            <w:r>
              <w:t>China</w:t>
            </w:r>
          </w:p>
        </w:tc>
        <w:tc>
          <w:tcPr>
            <w:tcW w:type="dxa" w:w="2160"/>
          </w:tcPr>
          <w:p>
            <w:r>
              <w:t>Current account surplus</w:t>
            </w:r>
          </w:p>
        </w:tc>
        <w:tc>
          <w:tcPr>
            <w:tcW w:type="dxa" w:w="2160"/>
          </w:tcPr>
          <w:p>
            <w:r>
              <w:t>~0.6%</w:t>
            </w:r>
          </w:p>
        </w:tc>
        <w:tc>
          <w:tcPr>
            <w:tcW w:type="dxa" w:w="2160"/>
          </w:tcPr>
          <w:p>
            <w:r>
              <w:t>Widened ~$300bn in 2025 — largest one-year widening since 2000</w:t>
            </w:r>
          </w:p>
        </w:tc>
      </w:tr>
      <w:tr>
        <w:tc>
          <w:tcPr>
            <w:tcW w:type="dxa" w:w="2160"/>
          </w:tcPr>
          <w:p>
            <w:r>
              <w:t>Euro Area (aggregate)</w:t>
            </w:r>
          </w:p>
        </w:tc>
        <w:tc>
          <w:tcPr>
            <w:tcW w:type="dxa" w:w="2160"/>
          </w:tcPr>
          <w:p>
            <w:r>
              <w:t>Current account surplus</w:t>
            </w:r>
          </w:p>
        </w:tc>
        <w:tc>
          <w:tcPr>
            <w:tcW w:type="dxa" w:w="2160"/>
          </w:tcPr>
          <w:p>
            <w:r>
              <w:t>Smaller than China's alone</w:t>
            </w:r>
          </w:p>
        </w:tc>
        <w:tc>
          <w:tcPr>
            <w:tcW w:type="dxa" w:w="2160"/>
          </w:tcPr>
          <w:p>
            <w:r>
              <w:t>Combined with China's surplus, still smaller than the U.S. deficit</w:t>
            </w:r>
          </w:p>
        </w:tc>
      </w:tr>
    </w:tbl>
    <w:p>
      <w:pPr>
        <w:pStyle w:val="Heading2"/>
      </w:pPr>
      <w:r>
        <w:rPr>
          <w:color w:val="1A1A1A"/>
        </w:rPr>
        <w:t>2.2 The 150-Year Benchmark</w:t>
      </w:r>
    </w:p>
    <w:p>
      <w:r>
        <w:t>The Bank of England's own 2026 analysis, built on a dataset running back to 1870, states plainly that "today, global current account imbalances are near their highest levels in 150 years," measuring imbalances as a share of world GDP across the full span. The Bank's analysis adds texture the headline number alone does not convey: the "excess" imbalance recorded in 2024 — the portion of surpluses and deficits judged larger than fundamentals justify — represented the largest single-year increase in a decade, and, more strikingly, persistence has changed as much as scale. By the 2020s, 76% of countries running an excess surplus had maintained it for five years or longer, compared with just 16% in the 1990s. Imbalances today are not only historically large; they are historically sticky, which matters directly for the sudden-stop risk discussed in Part III — a surplus or deficit that has persisted for a decade is one financial markets have had a decade to grow complacent about, which is precisely the condition under which a shock, when it comes, is least anticipated and most violent.</w:t>
      </w:r>
    </w:p>
    <w:p>
      <w:pPr>
        <w:ind w:left="360"/>
      </w:pPr>
      <w:r>
        <w:rPr>
          <w:b/>
          <w:color w:val="1E4D7B"/>
          <w:sz w:val="18"/>
        </w:rPr>
        <w:t>The Honest Limitation</w:t>
        <w:br/>
      </w:r>
      <w:r>
        <w:rPr>
          <w:i/>
          <w:sz w:val="21"/>
        </w:rPr>
        <w:t xml:space="preserve">The Bank of England's own published analysis offers the 150-year comparison with limited accompanying methodological detail — it is presented, in the authors' words, as "a fact that deserves serious attention" because of its historical correlation with financial crises, not as a precise forecasting model with a stated probability attached. This paper treats the claim as a credible, well-sourced warning signal from a G7 central bank, not as a prediction that a crisis is imminent on any specific timeline. The Bank's own data also shows imbalances are far from a one-way historical escalation: both the U.S. deficit and China's surplus roughly halved — China's fell by nearly 75% — in the years immediately following the 2008–09 financial crisis, before widening again over the following decade. Today's reading is a 150-year high, not a monotonic 150-year trend.  </w:t>
      </w:r>
    </w:p>
    <w:p>
      <w:pPr>
        <w:pStyle w:val="Heading2"/>
      </w:pPr>
      <w:r>
        <w:rPr>
          <w:color w:val="1A1A1A"/>
        </w:rPr>
        <w:t>2.2b The Rest of the Field, Beyond the Two Largest Positions</w:t>
      </w:r>
    </w:p>
    <w:p>
      <w:r>
        <w:t>The U.S.-China pairing dominates coverage of global imbalances because of sheer scale, but the IMF's 2026 report and the Bank of England's 150-year dataset both track a much wider field of large positions, several of which are directly relevant to this paper's later case studies. The United Kingdom has run a persistent, if smaller, current account deficit through most of the 2020s, reflecting a savings-investment gap with some structural similarity to the U.S. pattern, though without the reserve-currency offset described below. Japan's current account has remained in surplus even as its trade balance in goods has weakened, a divergence explored fully in Part IV. The euro area's aggregate surplus, while smaller than China's alone, masks wide internal variation — Germany's outsized surplus, examined in Part IV, sits alongside genuine deficits in several smaller member states, an internal imbalance within a currency union that Part IV's discussion of Germany returns to directly, since a eurozone member cannot use currency depreciation to correct a deficit against its own currency-union partners the way Turkey or India can against the dollar.</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Economy</w:t>
            </w:r>
          </w:p>
        </w:tc>
        <w:tc>
          <w:tcPr>
            <w:tcW w:type="dxa" w:w="2880"/>
          </w:tcPr>
          <w:p>
            <w:r>
              <w:rPr>
                <w:b/>
              </w:rPr>
              <w:t>Approximate 2025 Current Account Position</w:t>
            </w:r>
          </w:p>
        </w:tc>
        <w:tc>
          <w:tcPr>
            <w:tcW w:type="dxa" w:w="2880"/>
          </w:tcPr>
          <w:p>
            <w:r>
              <w:rPr>
                <w:b/>
              </w:rPr>
              <w:t>Structural Driver (this paper's synthesis)</w:t>
            </w:r>
          </w:p>
        </w:tc>
      </w:tr>
      <w:tr>
        <w:tc>
          <w:tcPr>
            <w:tcW w:type="dxa" w:w="2880"/>
          </w:tcPr>
          <w:p>
            <w:r>
              <w:t>United States</w:t>
            </w:r>
          </w:p>
        </w:tc>
        <w:tc>
          <w:tcPr>
            <w:tcW w:type="dxa" w:w="2880"/>
          </w:tcPr>
          <w:p>
            <w:r>
              <w:t>Deficit, ~0.9% of world GDP</w:t>
            </w:r>
          </w:p>
        </w:tc>
        <w:tc>
          <w:tcPr>
            <w:tcW w:type="dxa" w:w="2880"/>
          </w:tcPr>
          <w:p>
            <w:r>
              <w:t>Low national saving; deep fiscal deficit; reserve-currency demand offset</w:t>
            </w:r>
          </w:p>
        </w:tc>
      </w:tr>
      <w:tr>
        <w:tc>
          <w:tcPr>
            <w:tcW w:type="dxa" w:w="2880"/>
          </w:tcPr>
          <w:p>
            <w:r>
              <w:t>China</w:t>
            </w:r>
          </w:p>
        </w:tc>
        <w:tc>
          <w:tcPr>
            <w:tcW w:type="dxa" w:w="2880"/>
          </w:tcPr>
          <w:p>
            <w:r>
              <w:t>Surplus, ~0.6% of world GDP</w:t>
            </w:r>
          </w:p>
        </w:tc>
        <w:tc>
          <w:tcPr>
            <w:tcW w:type="dxa" w:w="2880"/>
          </w:tcPr>
          <w:p>
            <w:r>
              <w:t>High private/corporate saving; weakening domestic investment</w:t>
            </w:r>
          </w:p>
        </w:tc>
      </w:tr>
      <w:tr>
        <w:tc>
          <w:tcPr>
            <w:tcW w:type="dxa" w:w="2880"/>
          </w:tcPr>
          <w:p>
            <w:r>
              <w:t>Japan</w:t>
            </w:r>
          </w:p>
        </w:tc>
        <w:tc>
          <w:tcPr>
            <w:tcW w:type="dxa" w:w="2880"/>
          </w:tcPr>
          <w:p>
            <w:r>
              <w:t>Surplus, smaller trade component, larger income component</w:t>
            </w:r>
          </w:p>
        </w:tc>
        <w:tc>
          <w:tcPr>
            <w:tcW w:type="dxa" w:w="2880"/>
          </w:tcPr>
          <w:p>
            <w:r>
              <w:t>Ageing population; large stock of foreign assets generating income</w:t>
            </w:r>
          </w:p>
        </w:tc>
      </w:tr>
      <w:tr>
        <w:tc>
          <w:tcPr>
            <w:tcW w:type="dxa" w:w="2880"/>
          </w:tcPr>
          <w:p>
            <w:r>
              <w:t>Germany</w:t>
            </w:r>
          </w:p>
        </w:tc>
        <w:tc>
          <w:tcPr>
            <w:tcW w:type="dxa" w:w="2880"/>
          </w:tcPr>
          <w:p>
            <w:r>
              <w:t>Surplus, historically among world's largest in absolute terms</w:t>
            </w:r>
          </w:p>
        </w:tc>
        <w:tc>
          <w:tcPr>
            <w:tcW w:type="dxa" w:w="2880"/>
          </w:tcPr>
          <w:p>
            <w:r>
              <w:t>Post-Hartz wage restraint; export competitiveness inside a fixed currency union rate</w:t>
            </w:r>
          </w:p>
        </w:tc>
      </w:tr>
      <w:tr>
        <w:tc>
          <w:tcPr>
            <w:tcW w:type="dxa" w:w="2880"/>
          </w:tcPr>
          <w:p>
            <w:r>
              <w:t>United Kingdom</w:t>
            </w:r>
          </w:p>
        </w:tc>
        <w:tc>
          <w:tcPr>
            <w:tcW w:type="dxa" w:w="2880"/>
          </w:tcPr>
          <w:p>
            <w:r>
              <w:t>Persistent moderate deficit</w:t>
            </w:r>
          </w:p>
        </w:tc>
        <w:tc>
          <w:tcPr>
            <w:tcW w:type="dxa" w:w="2880"/>
          </w:tcPr>
          <w:p>
            <w:r>
              <w:t>Savings-investment gap without a comparable reserve-currency offset</w:t>
            </w:r>
          </w:p>
        </w:tc>
      </w:tr>
    </w:tbl>
    <w:p>
      <w:pPr>
        <w:pStyle w:val="Heading2"/>
      </w:pPr>
      <w:r>
        <w:rPr>
          <w:color w:val="1A1A1A"/>
        </w:rPr>
        <w:t>2.3 Why the Dollar's Reserve-Currency Status Is Part of the Arithmetic</w:t>
      </w:r>
    </w:p>
    <w:p>
      <w:r>
        <w:t>The Bank of England's analysis estimates that the U.S. dollar's status as the world's dominant reserve and invoicing currency may itself account for roughly 2 percentage points of U.S. GDP in persistent current account deficit — a standing "exorbitant privilege," in the phrase coined decades ago by French finance minister Valéry Giscard d'Estaing, in which the rest of the world's structural demand to hold dollar-denominated reserve assets effectively subsidises U.S. borrowing costs and permits a larger, more durable deficit than almost any other economy could sustain on comparable fundamentals. This is not a claim that the U.S. deficit is costless or risk-free — Part III's case studies show what happens to countries without that privilege — but it is a necessary caveat before comparing the U.S. position mechanically to India's, Turkey's, or Sri Lanka's: the identical current account deficit, as a share of GDP, is a fundamentally different risk depending on whether it is financed in a currency the rest of the world wants to hold for its own sake, or in a currency it holds only as long as the interest rate compensates for the risk of holding it.</w:t>
      </w:r>
    </w:p>
    <w:p>
      <w:pPr>
        <w:pStyle w:val="Heading1"/>
      </w:pPr>
      <w:r>
        <w:rPr>
          <w:color w:val="0D1F2D"/>
        </w:rPr>
        <w:t>Part III — Geography of Deficit: Four Nations That Hit the Wall</w:t>
      </w:r>
    </w:p>
    <w:p>
      <w:r>
        <w:t>The four cases that follow span four decades and four continents, and were chosen deliberately for their differences rather than their similarities: India's crisis was contained within months and never required an IMF programme; Turkey's evolved into a second, self-inflicted leg years after the original shock; Sri Lanka's ended in the country's first-ever sovereign default; and Argentina's has recurred, in some form, roughly once a decade since 2001. Read together, they are this paper's strongest evidence that the same underlying accounting vulnerability — a current account deficit financed on fragile terms — can resolve in outcomes ranging from a contained six-month currency wobble to a multi-decade cycle of recurring crisis, and that the difference between those outcomes is explained more by the speed, credibility and durability of the policy response than by the initial severity of the shock itself.</w:t>
      </w:r>
    </w:p>
    <w:p>
      <w:pPr>
        <w:pStyle w:val="Heading2"/>
      </w:pPr>
      <w:r>
        <w:rPr>
          <w:color w:val="1A1A1A"/>
        </w:rPr>
        <w:t>3.1 India, 2013 — The Original Taper Tantrum, and Its 2026 Echo</w:t>
      </w:r>
    </w:p>
    <w:p>
      <w:r>
        <w:t>In May 2013, then-Federal Reserve Chairman Ben Bernanke signalled that the Fed would begin "tapering" its quantitative easing bond purchases. The announcement alone — no policy had yet changed — triggered a rapid reversal of capital flows out of emerging markets running current account deficits, India prominent among them. India's current account deficit had reached roughly 4.8% of GDP in the 2012-13 fiscal year, financed heavily by portfolio capital rather than more stable foreign direct investment, leaving the rupee acutely exposed. Between May and August 2013, the rupee fell by roughly 20% against the dollar, inflation accelerated as import costs rose, and India was grouped by market commentary with four other current-account-deficit emerging economies — Brazil, Indonesia, South Africa and Turkey — under the label "the Fragile Five," a label constructed entirely around the same financing vulnerability set out in Part I.</w:t>
      </w:r>
    </w:p>
    <w:p>
      <w:r>
        <w:t>The response, engineered by newly appointed RBI Governor Raghuram Rajan starting in September 2013, is one of the clearest "what actually worked" case studies in modern emerging-market crisis management, and is examined in full in the real-evidence section below: a special swap window allowing banks to raise foreign-currency deposits (FCNR-B deposits) and swap them with the RBI at a subsidised rate, alongside a parallel window for banks' own overseas borrowing, raised approximately $34 billion in under three months — stabilising the rupee and ending the acute phase of the crisis well before the underlying current account deficit itself had structurally improved.</w:t>
      </w:r>
    </w:p>
    <w:p>
      <w:pPr>
        <w:ind w:left="360"/>
      </w:pPr>
      <w:r>
        <w:rPr>
          <w:b/>
          <w:color w:val="1E4D7B"/>
          <w:sz w:val="18"/>
        </w:rPr>
        <w:t>The Number That Matters Most</w:t>
        <w:br/>
      </w:r>
      <w:r>
        <w:rPr>
          <w:i/>
          <w:sz w:val="21"/>
        </w:rPr>
        <w:t xml:space="preserve">Thirteen years later, in June 2026, the RBI revived essentially the same instrument — at more than double the scale. Facing a rupee that had crossed 96 to the dollar for the first time, driven by dollar strength, elevated crude prices, geopolitical tension and portfolio outflows, the RBI reopened a swap facility on 8 June 2026 that raised $73 billion by 21 August 2026, of which FCNR(B) deposits alone contributed $65.4 billion — so far ahead of its 2013 predecessor's pace that the RBI advanced the window's closing date from 30 September to 31 August. The 2026 rupee depreciation, at roughly 7%, was substantially milder than 2013's ~20% fall or 2022's ~10% decline — a difference this paper reads, cautiously, as evidence that a credible, pre-tested policy tool deployed earlier in a shock can blunt its severity, though the 2026 shock's underlying drivers were also less acute than 2013's.  </w:t>
      </w:r>
    </w:p>
    <w:p>
      <w:pPr>
        <w:pStyle w:val="Heading2"/>
      </w:pPr>
      <w:r>
        <w:rPr>
          <w:color w:val="1A1A1A"/>
        </w:rPr>
        <w:t>3.2 Turkey, 2018 — When Twin Deficits Meet Geopolitics</w:t>
      </w:r>
    </w:p>
    <w:p>
      <w:r>
        <w:t>Turkey entered 2018 with a current account deficit of roughly $47.3 billion in 2017, rising to $51.6 billion on a rolling twelve-month basis by January 2018, alongside corporate foreign-currency debt that had more than doubled since 2009 to roughly $214 billion, against total gross external debt of $453.2 billion — a currency mismatch in which Turkish firms earning largely lira revenue had borrowed overwhelmingly in dollars and euros, a structural vulnerability distinct from, but compounding, the current account financing risk itself. The immediate trigger was political rather than purely economic: following the detention of American pastor Andrew Brunson, the Trump administration doubled tariffs on Turkish steel and aluminium (to 50% and 20% respectively) in August 2018, pricing Turkish steel — which had represented some 13% of the country's total steel exports — out of the U.S. market overnight.</w:t>
      </w:r>
    </w:p>
    <w:p>
      <w:r>
        <w:t>The lira's collapse through 2018 was severe and compounding: trading around 4.0 to the dollar in March, it weakened to the 4.5–5.0 range by May, and to 6.0–7.0 by August, falling nearly 10% in a single trading session after President Erdoğan's public remarks rejecting orthodox interest-rate responses. That rejection of orthodoxy proved durable and, on the evidence of what followed, costly: in 2021, under a newly appointed central bank governor, Turkey cut interest rates from 19% to 14% even as inflation accelerated, and the lira lost a further 44% of its value that year alone. Inflation eventually peaked at 83% before a 2023 policy reversal — new Finance Minister Mehmet Şimşek and a return to orthodox rate-setting, lifting rates to 50% by March 2024 — brought inflation down to just over 47% by November 2024, still far above target but moving in the intended direction for the first time in years.</w:t>
      </w:r>
    </w:p>
    <w:p>
      <w:r>
        <w:t>The intervening years illustrate, in granular detail, exactly how costly a rejection of Part VI's conventional adjustment toolkit can be. Between the 2018 shock and the 2023 reversal, ordinary Turkish households experienced a currency that had lost the overwhelming majority of its value against the dollar across the full period, savings held in lira eroded by triple-digit inflation, and — for the segment of the population and corporate sector still holding foreign-currency-denominated debt or rent contracts, common in Turkey's tourism and real-estate sectors — a widening gap between domestic-currency income and foreign-currency obligations that pushed many households and small businesses toward insolvency. The 2023 reversal's early results are presented by Turkish authorities as vindication of a return to economic orthodoxy, though the human and institutional cost of the preceding five years — during which conventional policy advice was known and available but politically rejected — is this paper's central illustration of Part VI.5's argument that the technically correct and the politically available response can diverge for years, not merely months.</w:t>
      </w:r>
    </w:p>
    <w:p>
      <w:pPr>
        <w:ind w:left="360"/>
      </w:pPr>
      <w:r>
        <w:rPr>
          <w:b/>
          <w:color w:val="1E4D7B"/>
          <w:sz w:val="18"/>
        </w:rPr>
        <w:t>The Honest Limitation</w:t>
        <w:br/>
      </w:r>
      <w:r>
        <w:rPr>
          <w:i/>
          <w:sz w:val="21"/>
        </w:rPr>
        <w:t xml:space="preserve">Turkey's crisis is frequently presented, in both Turkish and international commentary, as a case of external sabotage — tariffs and sanctions imposed by a hostile Washington. The tariff shock was real and is documented above. But the underlying vulnerability — a large current account deficit financed substantially through foreign-currency corporate borrowing, atop a government that spent 2021 through 2023 actively cutting interest rates into rising inflation against conventional macroeconomic advice — was domestic policy choice, not an externally imposed condition. Both things are true, and Turkey's own 2023 reversal toward orthodoxy is itself an implicit acknowledgment of the second.  </w:t>
      </w:r>
    </w:p>
    <w:p>
      <w:pPr>
        <w:pStyle w:val="Heading2"/>
      </w:pPr>
      <w:r>
        <w:rPr>
          <w:color w:val="1A1A1A"/>
        </w:rPr>
        <w:t>3.3 Sri Lanka, 2022 — When the Financing Simply Stops</w:t>
      </w:r>
    </w:p>
    <w:p>
      <w:r>
        <w:t>Sri Lanka's 2022 crisis is the starkest of this paper's three deficit case studies because it ended not in currency depreciation alone but in outright sovereign default — Sri Lanka's first — announced in April 2022, alongside a severe fuel, food, and medicine shortage that triggered sustained street protests (the "Aragalaya" movement) culminating in the resignation of President Gotabaya Rajapaksa in July 2022. Years of large current account deficits, financed increasingly through external sovereign borrowing rather than more stable capital, combined with a sudden, sweeping 2019 tax cut that gutted government revenue, a 2021 ban on chemical fertiliser imports that damaged agricultural output and export earnings, and the collapse of tourism revenue during the COVID-19 pandemic, left the country with foreign reserves too depleted to service its external debt or import essential fuel and food simultaneously.</w:t>
      </w:r>
    </w:p>
    <w:p>
      <w:r>
        <w:t>Sri Lanka's recovery, still underway as of this paper's publication, has proceeded through an IMF Extended Fund Facility approved in March 2023, with the Fund's Executive Board completing the combined Fifth and Sixth Reviews in May 2026 — releasing a further disbursement of SDR 508 million, approximately $695 million — against conditions covering medium-term revenue strategy, financial-sector stability, sovereign debt restructuring, and structural reform. The programme's progress across six review cycles by mid-2026, without a derailment requiring a full programme restart, is itself notable given how frequently IMF programmes in acute crisis countries have historically stalled; it is discussed further in the real-evidence section below.</w:t>
      </w:r>
    </w:p>
    <w:p>
      <w:r>
        <w:t>The human dimension of Sri Lanka's crisis is worth stating plainly, not as colour but as part of the evidence base for why this paper treats reserve adequacy and financing-quality monitoring as preventive obligations rather than technical niceties. At the crisis's peak in mid-2022, Sri Lankans queued for days for fuel, schools closed for lack of paper and printing materials, and the country's central bank was, for a period, unable to secure dollars for even the most essential food and medicine imports. The Aragalaya ("Struggle") protest movement that followed was not a conventional partisan opposition campaign but a broad, cross-class public response to conditions that had become, in the most literal sense, unlivable — culminating in protesters entering the presidential residence in July 2022, an image that circulated globally as short-hand for what an uncontained current account and reserve crisis can ultimately produce.</w:t>
      </w:r>
    </w:p>
    <w:p>
      <w:pPr>
        <w:pStyle w:val="Heading2"/>
      </w:pPr>
      <w:r>
        <w:rPr>
          <w:color w:val="1A1A1A"/>
        </w:rPr>
        <w:t>3.4 Argentina — The Serial Case, and Why Repetition Itself Is the Lesson</w:t>
      </w:r>
    </w:p>
    <w:p>
      <w:r>
        <w:t>No country in this paper's sample illustrates the durability of a current-account-and-fiscal vulnerability left structurally unresolved better than Argentina, which has defaulted on its sovereign debt nine times since independence and three times since 2001 alone. The 2001-02 crisis is the canonical modern case: a decade-long currency board fixing the peso 1-for-1 to the dollar had suppressed inflation through the 1990s but, by removing exchange-rate flexibility entirely, left Argentina unable to adjust to a strengthening dollar and a deteriorating current account through anything but brutal internal deflation. The peg broke in January 2002, the peso lost roughly 75% of its value within months, output collapsed by more than 10%, and the government defaulted on close to $100 billion of sovereign debt — at the time the largest sovereign default in history.</w:t>
      </w:r>
    </w:p>
    <w:p>
      <w:r>
        <w:t>What makes Argentina's inclusion here instructive rather than merely repetitive of Turkey's pattern is what happened next: rather than the sustained reform path Germany and South Korea eventually took, Argentina cycled through further bouts of the same underlying disease — a 2018 current account and currency crisis serious enough to require the largest IMF stand-by arrangement in the Fund's history at the time, approximately $57 billion, followed by a 2020 restructuring of $65 billion in foreign bonds, and a fresh acute crisis in 2023 in which annual inflation exceeded 200% and the parallel "blue dollar" exchange rate traded at multiples of the official rate. A 2023 change in government brought a new, aggressively orthodox stabilisation programme — deep fiscal cuts, a sharp official devaluation, and a stated ambition toward eventual dollarisation — that had, as of this paper's publication, brought inflation down substantially from its 2023 peak without yet resolving the debt-sustainability question that has recurred across every one of Argentina's crises since 2001.</w:t>
      </w:r>
    </w:p>
    <w:p>
      <w:pPr>
        <w:ind w:left="360"/>
      </w:pPr>
      <w:r>
        <w:rPr>
          <w:b/>
          <w:color w:val="1E4D7B"/>
          <w:sz w:val="18"/>
        </w:rPr>
        <w:t>The Honest Limitation</w:t>
        <w:br/>
      </w:r>
      <w:r>
        <w:rPr>
          <w:i/>
          <w:sz w:val="21"/>
        </w:rPr>
        <w:t xml:space="preserve">Argentina is included specifically because it does not fit the "crisis, response, resolution" arc of this paper's other three deficit cases. Two decades after 2001, Argentina's external and fiscal vulnerability remains, on most measures, unresolved — a reminder that a successful financing-side intervention (as in India) or a successful structural reform (as in Germany or South Korea) is not automatic; it depends on political durability that Argentina's own repeated crises show cannot be assumed even when the underlying diagnosis is well understood by every government that has faced it.  </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rPr>
                <w:b/>
              </w:rPr>
              <w:t>Country</w:t>
            </w:r>
          </w:p>
        </w:tc>
        <w:tc>
          <w:tcPr>
            <w:tcW w:type="dxa" w:w="2160"/>
          </w:tcPr>
          <w:p>
            <w:r>
              <w:rPr>
                <w:b/>
              </w:rPr>
              <w:t>Trigger</w:t>
            </w:r>
          </w:p>
        </w:tc>
        <w:tc>
          <w:tcPr>
            <w:tcW w:type="dxa" w:w="2160"/>
          </w:tcPr>
          <w:p>
            <w:r>
              <w:rPr>
                <w:b/>
              </w:rPr>
              <w:t>Peak Currency Move</w:t>
            </w:r>
          </w:p>
        </w:tc>
        <w:tc>
          <w:tcPr>
            <w:tcW w:type="dxa" w:w="2160"/>
          </w:tcPr>
          <w:p>
            <w:r>
              <w:rPr>
                <w:b/>
              </w:rPr>
              <w:t>Outcome</w:t>
            </w:r>
          </w:p>
        </w:tc>
      </w:tr>
      <w:tr>
        <w:tc>
          <w:tcPr>
            <w:tcW w:type="dxa" w:w="2160"/>
          </w:tcPr>
          <w:p>
            <w:r>
              <w:t>India, 2013</w:t>
            </w:r>
          </w:p>
        </w:tc>
        <w:tc>
          <w:tcPr>
            <w:tcW w:type="dxa" w:w="2160"/>
          </w:tcPr>
          <w:p>
            <w:r>
              <w:t>Fed taper announcement; CAD ~4.8% of GDP, portfolio-financed</w:t>
            </w:r>
          </w:p>
        </w:tc>
        <w:tc>
          <w:tcPr>
            <w:tcW w:type="dxa" w:w="2160"/>
          </w:tcPr>
          <w:p>
            <w:r>
              <w:t>Rupee −20% (May–Aug)</w:t>
            </w:r>
          </w:p>
        </w:tc>
        <w:tc>
          <w:tcPr>
            <w:tcW w:type="dxa" w:w="2160"/>
          </w:tcPr>
          <w:p>
            <w:r>
              <w:t>FCNR(B) swap window, $34bn raised; crisis contained without default</w:t>
            </w:r>
          </w:p>
        </w:tc>
      </w:tr>
      <w:tr>
        <w:tc>
          <w:tcPr>
            <w:tcW w:type="dxa" w:w="2160"/>
          </w:tcPr>
          <w:p>
            <w:r>
              <w:t>Turkey, 2018</w:t>
            </w:r>
          </w:p>
        </w:tc>
        <w:tc>
          <w:tcPr>
            <w:tcW w:type="dxa" w:w="2160"/>
          </w:tcPr>
          <w:p>
            <w:r>
              <w:t>U.S. tariffs/sanctions; twin deficits; dollar corporate debt</w:t>
            </w:r>
          </w:p>
        </w:tc>
        <w:tc>
          <w:tcPr>
            <w:tcW w:type="dxa" w:w="2160"/>
          </w:tcPr>
          <w:p>
            <w:r>
              <w:t>Lira roughly −40% over 2018</w:t>
            </w:r>
          </w:p>
        </w:tc>
        <w:tc>
          <w:tcPr>
            <w:tcW w:type="dxa" w:w="2160"/>
          </w:tcPr>
          <w:p>
            <w:r>
              <w:t>No IMF programme sought; unorthodox rate policy deepened a second leg, 2021–23</w:t>
            </w:r>
          </w:p>
        </w:tc>
      </w:tr>
      <w:tr>
        <w:tc>
          <w:tcPr>
            <w:tcW w:type="dxa" w:w="2160"/>
          </w:tcPr>
          <w:p>
            <w:r>
              <w:t>Sri Lanka, 2022</w:t>
            </w:r>
          </w:p>
        </w:tc>
        <w:tc>
          <w:tcPr>
            <w:tcW w:type="dxa" w:w="2160"/>
          </w:tcPr>
          <w:p>
            <w:r>
              <w:t>Tax cuts, fertiliser ban, tourism collapse, external debt service</w:t>
            </w:r>
          </w:p>
        </w:tc>
        <w:tc>
          <w:tcPr>
            <w:tcW w:type="dxa" w:w="2160"/>
          </w:tcPr>
          <w:p>
            <w:r>
              <w:t>Rupee collapse; reserves near zero</w:t>
            </w:r>
          </w:p>
        </w:tc>
        <w:tc>
          <w:tcPr>
            <w:tcW w:type="dxa" w:w="2160"/>
          </w:tcPr>
          <w:p>
            <w:r>
              <w:t>Sovereign default (first ever); IMF EFF from March 2023, ongoing through 2026</w:t>
            </w:r>
          </w:p>
        </w:tc>
      </w:tr>
      <w:tr>
        <w:tc>
          <w:tcPr>
            <w:tcW w:type="dxa" w:w="2160"/>
          </w:tcPr>
          <w:p>
            <w:r>
              <w:t>Argentina, 2001 (recurring)</w:t>
            </w:r>
          </w:p>
        </w:tc>
        <w:tc>
          <w:tcPr>
            <w:tcW w:type="dxa" w:w="2160"/>
          </w:tcPr>
          <w:p>
            <w:r>
              <w:t>Fixed currency board unable to absorb a strengthening dollar</w:t>
            </w:r>
          </w:p>
        </w:tc>
        <w:tc>
          <w:tcPr>
            <w:tcW w:type="dxa" w:w="2160"/>
          </w:tcPr>
          <w:p>
            <w:r>
              <w:t>Peso −75% within months</w:t>
            </w:r>
          </w:p>
        </w:tc>
        <w:tc>
          <w:tcPr>
            <w:tcW w:type="dxa" w:w="2160"/>
          </w:tcPr>
          <w:p>
            <w:r>
              <w:t>~$100bn default (largest in history at the time); crisis recurred in 2018 and 2023</w:t>
            </w:r>
          </w:p>
        </w:tc>
      </w:tr>
    </w:tbl>
    <w:p>
      <w:pPr>
        <w:pStyle w:val="Heading1"/>
      </w:pPr>
      <w:r>
        <w:rPr>
          <w:color w:val="0D1F2D"/>
        </w:rPr>
        <w:t>Part IV — Geography of Surplus: Three Nations That Built the Machine</w:t>
      </w:r>
    </w:p>
    <w:p>
      <w:r>
        <w:t>A surplus economy does not face the sudden-stop risk examined in Part III — by definition, a country running a current account surplus is a net lender to the rest of the world, not a net borrower dependent on foreign capital arriving on schedule. But the three surplus economies examined below are not, on the evidence of this paper's research, simply "doing well" by the inverse of Part III's logic; each faces a distinct structural critique, explored case by case, that the accounting identity in Part I makes unavoidable — a persistent surplus this large implies domestic saving and investment choices, and in China's and Germany's cases fiscal and institutional choices, that a growing body of international economic opinion, IMF and European Commission analysis chief among it, argues are themselves imbalanced, simply in the opposite direction from Part III's case studies.</w:t>
      </w:r>
    </w:p>
    <w:p>
      <w:pPr>
        <w:pStyle w:val="Heading2"/>
      </w:pPr>
      <w:r>
        <w:rPr>
          <w:color w:val="1A1A1A"/>
        </w:rPr>
        <w:t>4.1 China — Surplus by Design, Not Accident</w:t>
      </w:r>
    </w:p>
    <w:p>
      <w:r>
        <w:t>China's current account surplus is not a residual outcome of trade policy alone; it reflects a savings-investment structure decades in the making — a high private and corporate saving rate, a financial system that has historically channelled household savings toward investment and exports rather than consumption, and, more recently per the IMF's 2026 analysis, a domestic investment slowdown (concentrated in the property sector, manufacturing capacity, and infrastructure) that has widened the surplus further even as the country's own growth model comes under strain. The scale is now large enough, at roughly 0.6% of world GDP and a single-year widening of some $300 billion, that the IMF explicitly frames it — alongside the U.S. deficit — as one of the two positions doing most of the work in the global imbalance picture.</w:t>
      </w:r>
    </w:p>
    <w:p>
      <w:r>
        <w:t>The policy tension this creates is well understood but persistently unresolved: a surplus this size and this persistent implies, by the same accounting identity set out in Part I, that Chinese households and firms are saving far more than the economy is investing domestically — savings that could, in principle, fund higher domestic consumption, stronger social safety nets that would reduce precautionary saving, or continued high investment, but which instead flow abroad as capital exports, reinforcing the deficits of trading partners running the offsetting position. Rebalancing toward domestic consumption has been a stated policy goal across successive Five-Year Plans for over a decade; the 2025 widening of the surplus is evidence that goal remains, at minimum, unmet.</w:t>
      </w:r>
    </w:p>
    <w:p>
      <w:pPr>
        <w:pStyle w:val="Heading2"/>
      </w:pPr>
      <w:r>
        <w:rPr>
          <w:color w:val="1A1A1A"/>
        </w:rPr>
        <w:t>4.2 Germany — Agenda 2010, Competitiveness, and Its Own Criticism</w:t>
      </w:r>
    </w:p>
    <w:p>
      <w:r>
        <w:t>Germany's transformation from what The Economist in 1999 dubbed "the sick man of the euro" into the world's largest current account surplus economy in absolute dollar terms by 2016 is one of the most-studied competitiveness turnarounds in modern economic history, and it began with a deliberately painful domestic reform. Chancellor Gerhard Schröder's Agenda 2010 programme, implemented through the Hartz labour-market reforms of 2003–2005, restructured unemployment benefits, tightened eligibility, expanded low-wage and part-time "mini-job" employment, and — critically for the external-balance story — was accompanied by a decade of unusually restrained wage growth relative to productivity gains, materially improving German export competitiveness within the fixed exchange rate of the euro, where currency depreciation was not available as an adjustment tool.</w:t>
      </w:r>
    </w:p>
    <w:p>
      <w:r>
        <w:t>The results, on the narrow competitiveness measure, were unambiguous: Germany's current account swung from a deficit in the early 2000s to a surplus exceeding 8% of GDP by 2015–2016, the Ifo Institute projecting it as the world's largest in absolute dollar terms for 2016. But the same reforms that produced the surplus have been persistently criticised — by the IMF, by the European Commission under its Macroeconomic Imbalance Procedure, and by a substantial academic literature — on almost exactly the mirror-image logic applied to China: a surplus this large and this sustained implies Germany's own households and firms are saving more, and the government investing less in infrastructure and public capital, than the economy's own needs would justify, exporting the demand shortfall to eurozone trading partners who, inside a currency union, cannot devalue their way to a matching adjustment the way Turkey or India at least retain the option to attempt.</w:t>
      </w:r>
    </w:p>
    <w:p>
      <w:pPr>
        <w:ind w:left="360"/>
      </w:pPr>
      <w:r>
        <w:rPr>
          <w:b/>
          <w:color w:val="1E4D7B"/>
          <w:sz w:val="18"/>
        </w:rPr>
        <w:t>The Honest Limitation</w:t>
        <w:br/>
      </w:r>
      <w:r>
        <w:rPr>
          <w:i/>
          <w:sz w:val="21"/>
        </w:rPr>
        <w:t xml:space="preserve">Germany's surplus and China's surplus are frequently discussed as the same phenomenon; they are not identical. Germany's surplus arose substantially from wage restraint and export competitiveness gains inside a fixed exchange rate with no capital controls, aimed explicitly at a labour-market crisis, not at generating a trade surplus as a policy objective in itself. China's surplus reflects a financial system with far more direct state influence over the allocation of household savings. Both produce the same current account outcome and the same rebalancing critique from trading partners, but the underlying mechanism — and therefore the appropriate policy remedy — is materially different, a distinction this paper's Part VII framework treats as a first-order design consideration, not a footnote.  </w:t>
      </w:r>
    </w:p>
    <w:p>
      <w:pPr>
        <w:pStyle w:val="Heading2"/>
      </w:pPr>
      <w:r>
        <w:rPr>
          <w:color w:val="1A1A1A"/>
        </w:rPr>
        <w:t>4.3 Japan — The Oldest Surplus, and a Preview of a Demographic Future</w:t>
      </w:r>
    </w:p>
    <w:p>
      <w:r>
        <w:t>Japan offers a third surplus archetype, distinct from both China's and Germany's, and one this paper argues deserves more attention than it typically receives: a surplus sustained for decades not primarily through export competitiveness or state-directed saving, but through the income generated by a vast accumulated stock of foreign assets built up during Japan's earlier export-boom decades. Japan's trade balance in goods has, in many recent years, been close to flat or even in deficit — a marked change from its 1980s identity as the archetypal export-surplus economy — yet its overall current account has remained solidly in surplus because net primary income (interest, dividends, and repatriated profits from Japanese-owned factories, bonds, and equities abroad) now does most of the work that the trade balance once did. Japan is, in this sense, a preview of what a current account structure looks like once a country stops being a net exporter of goods and becomes, instead, a net exporter of capital living off the returns on capital exported decades earlier.</w:t>
      </w:r>
    </w:p>
    <w:p>
      <w:r>
        <w:t>This transition is inseparable from Japan's demographics: the world's oldest population by median age, a shrinking workforce, and decades of exceptionally high household saving during the working-age boom years of the late twentieth century that has since been steadily drawn down in retirement, even as the foreign asset stock those savings built continues to generate income. Germany, with the second-oldest population among major economies, is widely expected by demographic economists to follow a broadly similar trajectory over coming decades — a link this paper returns to directly in Part V's discussion of demographic drivers of saving and investment behaviour.</w:t>
      </w:r>
    </w:p>
    <w:p>
      <w:pPr>
        <w:pStyle w:val="Heading1"/>
      </w:pPr>
      <w:r>
        <w:rPr>
          <w:color w:val="0D1F2D"/>
        </w:rPr>
        <w:t>Part V — Root Causes: Why Imbalances Form and Persist</w:t>
      </w:r>
    </w:p>
    <w:p>
      <w:r>
        <w:t>Beyond the headline savings-investment identity in Part I, five more specific and frequently interacting mechanisms explain why particular countries, rather than others, accumulate persistent deficits or surpluses.</w:t>
      </w:r>
    </w:p>
    <w:p>
      <w:pPr>
        <w:pStyle w:val="Heading2"/>
      </w:pPr>
      <w:r>
        <w:rPr>
          <w:color w:val="1A1A1A"/>
        </w:rPr>
        <w:t>5.1 Fiscal Twin Deficits</w:t>
      </w:r>
    </w:p>
    <w:p>
      <w:r>
        <w:t>A government running a large, sustained fiscal deficit — spending more than it raises in revenue — mechanically widens the current account deficit unless private saving rises to offset it fully, which empirically it rarely does in full (the offset is known in the literature as "Ricardian equivalence," and the evidence for its completeness is weak). The United States' 2025 position, per the IMF's own characterisation, is a textbook case: low national saving and a fiscal balance "deep in deficit" moving together.</w:t>
      </w:r>
    </w:p>
    <w:p>
      <w:pPr>
        <w:pStyle w:val="Heading2"/>
      </w:pPr>
      <w:r>
        <w:rPr>
          <w:color w:val="1A1A1A"/>
        </w:rPr>
        <w:t>5.2 Low Private Saving Relative to Investment</w:t>
      </w:r>
    </w:p>
    <w:p>
      <w:r>
        <w:t>Independent of government behaviour, a country whose households and firms simply consume a higher share of income than comparable economies — often linked to weaker social safety nets driving precautionary saving down rather than up, easy consumer credit access, or a culturally embedded low savings norm — will tend toward deficit even with a balanced budget, and vice versa for high-saving economies such as China, Singapore, and much of East Asia.</w:t>
      </w:r>
    </w:p>
    <w:p>
      <w:pPr>
        <w:pStyle w:val="Heading2"/>
      </w:pPr>
      <w:r>
        <w:rPr>
          <w:color w:val="1A1A1A"/>
        </w:rPr>
        <w:t>5.3 Overvalued Real Exchange Rates</w:t>
      </w:r>
    </w:p>
    <w:p>
      <w:r>
        <w:t>A currency that is persistently stronger than its underlying trade and inflation fundamentals justify makes imports artificially cheap and exports artificially expensive, widening the current account deficit independent of any savings or fiscal behaviour — a mechanism visible, in reverse, in Germany's case, where the euro has arguably been persistently undervalued for Germany's specific productivity level relative to weaker eurozone members, amplifying its surplus.</w:t>
      </w:r>
    </w:p>
    <w:p>
      <w:pPr>
        <w:pStyle w:val="Heading2"/>
      </w:pPr>
      <w:r>
        <w:rPr>
          <w:color w:val="1A1A1A"/>
        </w:rPr>
        <w:t>5.4 Terms-of-Trade Shocks</w:t>
      </w:r>
    </w:p>
    <w:p>
      <w:r>
        <w:t>A sudden, sustained change in the relative price of a country's major exports or imports — an oil-importing country facing a crude price spike, or a commodity exporter facing a price collapse — can swing a current account balance sharply without any change in underlying saving or investment behaviour at all. Sri Lanka's 2022 crisis was compounded by exactly this channel: a global energy price spike hit a country already short of the foreign exchange reserves needed to pay for it.</w:t>
      </w:r>
    </w:p>
    <w:p>
      <w:pPr>
        <w:pStyle w:val="Heading2"/>
      </w:pPr>
      <w:r>
        <w:rPr>
          <w:color w:val="1A1A1A"/>
        </w:rPr>
        <w:t>5.5 Reserve-Currency Status</w:t>
      </w:r>
    </w:p>
    <w:p>
      <w:r>
        <w:t>As Part II's Bank of England figure makes explicit, the U.S. dollar's role as the dominant global reserve and invoicing currency structurally widens the U.S. current account deficit by an estimated 2 percentage points of GDP relative to what fundamentals alone would predict, because the rest of the world's demand to hold dollar assets as reserves is, in effect, a standing offer of cheap financing available to no other economy at comparable scale — the flip side of which is that a reserve-currency deficit is financed on fundamentally different, more durable terms than the deficits examined in Part III, a distinction worth holding in mind throughout the rest of this paper.</w:t>
      </w:r>
    </w:p>
    <w:p>
      <w:pPr>
        <w:pStyle w:val="Heading2"/>
      </w:pPr>
      <w:r>
        <w:rPr>
          <w:color w:val="1A1A1A"/>
        </w:rPr>
        <w:t>5.6 Demographic Divergence and the Global Savings Glut</w:t>
      </w:r>
    </w:p>
    <w:p>
      <w:r>
        <w:t>A less frequently cited but increasingly important driver, foreshadowed directly by Japan's case in Part IV: a country's position in its own demographic life cycle shapes its aggregate saving rate in a way no policy lever easily overrides. Working-age populations with a long runway of future earnings ahead of them tend to save less and borrow more (funding homes, education, and family formation), while populations dominated by older, high-saving cohorts nearing or in retirement tend to save more in aggregate, even as individual retirees draw down savings, because the sheer weight of a large pre-retirement cohort still accumulating dominates the national total. This demographic mechanism, sometimes termed a "global savings glut" in the academic literature following the phrase's popularisation by former Federal Reserve Chairman Ben Bernanke in a 2005 speech explaining the pre-2008 U.S. deficit, helps explain why an ageing Germany, an ageing Japan, and an ageing China (a legacy, in China's case, of the one-child policy interacting with rapidly rising life expectancy) all run large surpluses, while a United States with a comparatively younger population structure and higher immigration-driven population growth runs a persistent deficit. Implication: to the extent global imbalances are partly demographic in origin, they are structurally slower to correct than a purely policy-driven imbalance — a fiscal deficit can, in principle, be closed within a single budget cycle; a national age structure cannot be altered within a decade by any policy short of a sustained, multi-generational shift in fertility or immigration, a sobering implication for how quickly the Bank of England's 150-year-high imbalance picture in Part II might reasonably be expected to normalise on its own.</w:t>
      </w:r>
    </w:p>
    <w:p>
      <w:pPr>
        <w:pStyle w:val="Heading2"/>
      </w:pPr>
      <w:r>
        <w:rPr>
          <w:color w:val="1A1A1A"/>
        </w:rPr>
        <w:t>5.7 The Sequencing of Capital Account Liberalisation</w:t>
      </w:r>
    </w:p>
    <w:p>
      <w:r>
        <w:t>A final, more technical but historically consequential root cause: the order and speed at which a country opens its capital account — removing restrictions on foreign capital flowing in and out — shapes the composition of the financing behind any subsequent current account deficit. A country that liberalises short-term portfolio and bank-lending flows before it has built deep, liquid domestic capital markets and a credible, tested exchange-rate and reserve-management framework tends to attract exactly the fast-moving, easily reversible financing that proved so damaging in India 2013, Turkey 2018, Mexico 1994, and the Indonesian and Korean cases of 1997 — a pattern the IMF's own post-crisis research on the Asian financial crisis, and a substantial subsequent academic literature, has linked directly to premature or poorly sequenced capital account opening across multiple emerging-market crises since the 1990s. Chile, examined again in the real-evidence section below for a different intervention, is also a frequently cited case of comparatively careful sequencing, having maintained selective capital-flow management tools into the late 1990s specifically to slow short-term inflows while its domestic financial system matured.</w:t>
      </w:r>
    </w:p>
    <w:p>
      <w:pPr>
        <w:pStyle w:val="Heading1"/>
      </w:pPr>
      <w:r>
        <w:rPr>
          <w:color w:val="0D1F2D"/>
        </w:rPr>
        <w:t>Part VI — The Adjustment Toolkit and Its Trade-offs</w:t>
      </w:r>
    </w:p>
    <w:p>
      <w:r>
        <w:t>Four broad categories of policy response exist for a country seeking to narrow a current account deficit, each with a real historical track record and a real set of costs. None is free of trade-offs, and — as the case studies throughout this paper repeatedly show — the tool a country actually reaches for under acute market pressure is frequently not the one its own technical advisers would recommend in calmer conditions, a gap between technically optimal and politically available policy that Part VI.5 below treats as a central, recurring finding of this paper rather than an incidental footnote.</w:t>
      </w:r>
    </w:p>
    <w:p>
      <w:pPr>
        <w:pStyle w:val="Heading2"/>
      </w:pPr>
      <w:r>
        <w:rPr>
          <w:color w:val="1A1A1A"/>
        </w:rPr>
        <w:t>6.1 Expenditure-Reducing Policies</w:t>
      </w:r>
    </w:p>
    <w:p>
      <w:r>
        <w:t>Fiscal austerity and monetary tightening reduce a deficit by reducing overall domestic demand — including demand for imports — directly. This is the mechanism underlying most IMF Extended Fund Facility programmes, Sri Lanka's current arrangement among them: reduced government spending and higher interest rates lower absorption, narrowing the deficit, at the direct cost of slower growth and, in the near term, higher unemployment — a cost this paper does not minimise, given the documented social toll of the Aragalaya-era shortages in Sri Lanka and comparable episodes elsewhere. Mexico's 1995 contraction and Indonesia's 1997-98 recession, both examined below, are further, starker illustrations of the same mechanism operating at speed rather than on a negotiated multi-year schedule — the more abrupt the reduction in absorption, historically, the higher the near-term social cost, even when the external-balance outcome is broadly similar.</w:t>
      </w:r>
    </w:p>
    <w:p>
      <w:pPr>
        <w:pStyle w:val="Heading2"/>
      </w:pPr>
      <w:r>
        <w:rPr>
          <w:color w:val="1A1A1A"/>
        </w:rPr>
        <w:t>6.2 Expenditure-Switching Policies</w:t>
      </w:r>
    </w:p>
    <w:p>
      <w:r>
        <w:t>Currency depreciation — whether managed or market-driven, as in Turkey's 2018 and 2021 episodes — makes imports more expensive and exports more competitive, switching domestic and foreign demand toward domestically produced goods. The effect is real but neither instant nor certain: the classic "J-curve" describes an initial worsening of the trade balance immediately after depreciation, as import costs rise before export volumes have time to respond, with genuine improvement typically taking twelve to eighteen months to materialise, conditional on the Marshall-Lerner condition holding (that the combined price-elasticity of exports and imports exceeds one) — a condition that does not hold automatically for every economy or every basket of traded goods. A currency union member such as Germany inside the euro has no access to this tool at all against its fellow members, which is precisely why Part IV frames Germany's Agenda 2010 wage restraint as an "internal devaluation" — achieving through a decade of suppressed nominal wages what an external devaluation would have achieved in months, had one been available.</w:t>
      </w:r>
    </w:p>
    <w:p>
      <w:pPr>
        <w:pStyle w:val="Heading2"/>
      </w:pPr>
      <w:r>
        <w:rPr>
          <w:color w:val="1A1A1A"/>
        </w:rPr>
        <w:t>6.3 Structural and Supply-Side Reforms</w:t>
      </w:r>
    </w:p>
    <w:p>
      <w:r>
        <w:t>Reforms aimed at raising an economy's underlying competitiveness and productivity — Germany's Agenda 2010 labour reforms being this paper's central example — work on a longer horizon than either expenditure-reducing or expenditure-switching tools, typically years rather than quarters, but address the underlying cause of a deficit rather than merely suppressing demand for imports temporarily. They are also the hardest to implement politically, precisely because their costs (job losses, benefit cuts, wage restraint) are immediate and concentrated while their benefits (competitiveness, export growth) are diffuse and delayed — the exact asymmetry that makes them rare outside a genuine crisis, and the exact asymmetry Part VI.5 below names explicitly as this paper's central political-economy finding.</w:t>
      </w:r>
    </w:p>
    <w:p>
      <w:pPr>
        <w:pStyle w:val="Heading2"/>
      </w:pPr>
      <w:r>
        <w:rPr>
          <w:color w:val="1A1A1A"/>
        </w:rPr>
        <w:t>6.4 Financing and Temporary Measures</w:t>
      </w:r>
    </w:p>
    <w:p>
      <w:r>
        <w:t>Drawing down foreign exchange reserves, arranging central bank swap lines, or deploying a targeted capital-inflow scheme of the kind examined in depth below buys time without addressing the underlying current account gap at all — a deliberate, often necessary bridge while slower-acting structural or expenditure-reducing measures take effect, but one that carries its own risk if mistaken for a permanent solution: reserves that are drawn down and not rebuilt, or swap-financed deposits that face a redemption cliff (a risk this paper flags explicitly for India's 2026 facility in the real-evidence section below), can simply defer a reckoning rather than prevent one. Mexico's 1994 tesobono stock is the starkest historical illustration of this exact risk materialising: a financing instrument specifically designed to buy time and reassure markets instead concentrated a rollover risk that, once it came due, turned a manageable currency adjustment into the sudden, near-overnight solvency crisis examined in the real-evidence section below.</w:t>
      </w:r>
    </w:p>
    <w:p>
      <w:pPr>
        <w:pStyle w:val="Heading2"/>
      </w:pPr>
      <w:r>
        <w:rPr>
          <w:color w:val="1A1A1A"/>
        </w:rPr>
        <w:t>6.5 The Political Economy of Adjustment: Why the Easiest Tool Is Often the Worst</w:t>
      </w:r>
    </w:p>
    <w:p>
      <w:r>
        <w:t>Across all four categories above, a consistent pattern emerges that this paper argues deserves to be named explicitly: the policy tools with the weakest evidence of actually working (tariffs and other trade restrictions) are frequently the most politically attractive, because their costs are diffuse and delayed (higher consumer prices, retaliation absorbed gradually) while their benefits are concentrated and immediate (a protected domestic industry, a visible act of "doing something"). The tools with the strongest evidence of working — fiscal discipline, structural reform, transparent financing-quality monitoring — tend to have the opposite profile: concentrated, immediate costs (spending cuts, benefit reductions, painful wage restraint) and diffuse, delayed benefits (a more resilient external position years later). Turkey's 2018-2023 experience and Argentina's repeated relapses are, in this paper's reading, as much a story of this political-economy asymmetry as of technical economic misjudgement — the technically correct policy and the politically easiest policy pointed in opposite directions, and the politically easiest one won, repeatedly, in both cases.</w:t>
      </w:r>
    </w:p>
    <w:p>
      <w:pPr>
        <w:ind w:left="360"/>
      </w:pPr>
      <w:r>
        <w:rPr>
          <w:b/>
          <w:color w:val="1E4D7B"/>
          <w:sz w:val="18"/>
        </w:rPr>
        <w:t>The Honest Limitation</w:t>
        <w:br/>
      </w:r>
      <w:r>
        <w:rPr>
          <w:i/>
          <w:sz w:val="21"/>
        </w:rPr>
        <w:t xml:space="preserve">The source policy framework this paper expands on notes explicitly that trade restrictions — tariffs, quotas, and related measures — have "limited and uncertain effects" on the current account "once retaliation and income effects are considered." This is not merely this paper's own editorial view: it is the mainstream position in international trade economics, grounded in the Marshall-Lerner condition, empirical J-curve evidence, and repeated episodes of retaliatory tariffs eroding much of an initial trade-balance gain. Turkey's own 2018 experience is, if anything, a case study in tariffs moving a bilateral trade relationship without resolving an underlying current account problem — the U.S. tariffs on Turkish steel and aluminium were a proximate trigger for the 2018 crisis, not a tool Turkey itself used to fix a deficit, but the mechanism illustrated (tariffs reshaping specific trade flows without addressing aggregate saving-investment imbalances) is the same one that limits tariffs' usefulness as a deficit-correction tool for the country imposing them.  </w:t>
      </w:r>
    </w:p>
    <w:p>
      <w:pPr>
        <w:pStyle w:val="Heading1"/>
      </w:pPr>
      <w:r>
        <w:rPr>
          <w:color w:val="0D1F2D"/>
        </w:rPr>
        <w:t>What Real-World Interventions Have Actually Shown</w:t>
      </w:r>
    </w:p>
    <w:p>
      <w:r>
        <w:t>NGE's house standard is to ground policy proposals in interventions that have actually been tried, not only in what sounds plausible. Seven cases meet that bar, spanning five decades and every populated continent but Africa and Australia — a genuine spread, chosen specifically so that this paper's eventual eight-pillar framework in Part VII is not built by generalising from a single region's or a single decade's experience, a methodological risk this paper is conscious of and has tried to design around directly.</w:t>
      </w:r>
    </w:p>
    <w:p>
      <w:pPr>
        <w:pStyle w:val="Heading2"/>
      </w:pPr>
      <w:r>
        <w:rPr>
          <w:color w:val="1A1A1A"/>
        </w:rPr>
        <w:t>India's FCNR(B) Swap Window — Tested Twice, Thirteen Years Apart</w:t>
      </w:r>
    </w:p>
    <w:p>
      <w:r>
        <w:t>This is the strongest evidence in this paper's entire research base, precisely because it is not a single data point but a repeated natural experiment. In September 2013, facing a rupee that had fallen 20% in three months, Governor Raghuram Rajan opened a swap window offering banks a subsidised exchange rate to bring in foreign-currency (FCNR-B) deposits, at a fixed swap cost of roughly 3.5% — several percentage points below prevailing market rates — alongside a parallel facility for banks' own overseas borrowing. The two windows together raised approximately $34 billion in under three months, of which FCNR-B deposits contributed roughly $26 billion, decisively stabilising the rupee before India's underlying current account deficit had improved at all. In June 2026, facing a new rupee shock (crossing 96 to the dollar for the first time, on dollar strength, elevated crude prices, and portfolio outflows), the RBI reopened the identical mechanism — absorbing hedging costs of roughly 280–300 basis points to let banks offer 5.5%–7.1% dollar deposit rates — and raised $73 billion, more than double the 2013 total, so far ahead of schedule that the RBI closed the window a month early. The 2026 rupee depreciation, at roughly 7%, was markedly milder than 2013's 20% or 2022's 10% fall.</w:t>
      </w:r>
    </w:p>
    <w:p>
      <w:pPr>
        <w:ind w:left="360"/>
      </w:pPr>
      <w:r>
        <w:rPr>
          <w:b/>
          <w:color w:val="1E4D7B"/>
          <w:sz w:val="18"/>
        </w:rPr>
        <w:t>The Honest Limitation</w:t>
        <w:br/>
      </w:r>
      <w:r>
        <w:rPr>
          <w:i/>
          <w:sz w:val="21"/>
        </w:rPr>
        <w:t xml:space="preserve">FCNR(B) deposits are foreign-currency liabilities of Indian banks, and count fully as external debt — India's total external debt stood at $762.8 billion at the end of March 2026, a figure the 2026 swap facility itself adds to, not subtracts from. Both the 2013 and 2026 windows carry a redemption cliff three to five years out, when the swapped deposits mature and could, in principle, all seek to leave at once; India managed the 2013 cliff without a second crisis, but that is a track record of one, not a guarantee. The subsidy cost of absorbing hedging costs also falls on the RBI's own forward book for the life of the contracts — a real, if delayed and diffuse, fiscal cost of the intervention that rarely appears in headline coverage of how much the facility "raised."  </w:t>
      </w:r>
    </w:p>
    <w:p>
      <w:pPr>
        <w:pStyle w:val="Heading2"/>
      </w:pPr>
      <w:r>
        <w:rPr>
          <w:color w:val="1A1A1A"/>
        </w:rPr>
        <w:t>Mexico, 1994–1997 — The First Modern Sudden Stop, and the First Modern Bailout Playbook</w:t>
      </w:r>
    </w:p>
    <w:p>
      <w:r>
        <w:t>Mexico's December 1994 "Tequila Crisis" is, in many respects, the original template for every sudden-stop crisis this paper examines. Mexico had run a current account deficit reaching roughly 7% of GDP through the early 1990s, financed heavily through short-term, dollar-linked government securities (tesobonos) issued specifically to reassure nervous foreign investors after a series of political shocks in 1994 — a financing choice that, in retrospect, concentrated exactly the rollover risk it was meant to calm. When the peso's crawling-peg exchange rate became untenable and was floated in December 1994, it lost roughly half its value within weeks, and the tesobono stock — some $29 billion, much of it held by foreign investors and coming due within months — turned a currency adjustment into a full-blown solvency crisis almost overnight.</w:t>
      </w:r>
    </w:p>
    <w:p>
      <w:r>
        <w:t>The response, assembled jointly by the U.S. Treasury and the IMF under intense time pressure, became the template later invoked, explicitly or implicitly, in most of this paper's subsequent case studies: a $50 billion international support package, at the time the largest financial rescue ever assembled, combining a $20 billion U.S. Treasury credit line (drawn from the Exchange Stabilization Fund, bypassing a reluctant U.S. Congress), an IMF stand-by arrangement, and contributions from the Bank for International Settlements and private banks. Mexico's economy contracted sharply in 1995, but the current account swung to a small surplus within two years as import demand compressed and a cheaper peso boosted exports, and Mexico repaid the U.S. Treasury credit line in full, ahead of schedule, by January 1997 — a repayment track record echoing South Korea's below, and one that helped cement the view, still influential today, that a sufficiently large, sufficiently fast multilateral financing response can convert a sudden stop into a contained, if painful, adjustment rather than a prolonged crisis.</w:t>
      </w:r>
    </w:p>
    <w:p>
      <w:pPr>
        <w:ind w:left="360"/>
      </w:pPr>
      <w:r>
        <w:rPr>
          <w:b/>
          <w:color w:val="1E4D7B"/>
          <w:sz w:val="18"/>
        </w:rPr>
        <w:t>The Honest Limitation</w:t>
        <w:br/>
      </w:r>
      <w:r>
        <w:rPr>
          <w:i/>
          <w:sz w:val="21"/>
        </w:rPr>
        <w:t xml:space="preserve">Mexico's rescue is frequently cited as an unqualified success because of the speed of loan repayment; the domestic cost is less often emphasised in that telling. Mexican GDP contracted by more than 6% in 1995, poverty rates rose sharply, and real wages took years to recover to their pre-crisis level even as the headline current account and reserve metrics normalised quickly — a reminder, echoed in Sri Lanka's more recent experience, that a successful external-balance rescue and a fully recovered domestic population are not the same achievement, and headline macroeconomic indicators can normalise well before household-level conditions do.  </w:t>
      </w:r>
    </w:p>
    <w:p>
      <w:pPr>
        <w:pStyle w:val="Heading2"/>
      </w:pPr>
      <w:r>
        <w:rPr>
          <w:color w:val="1A1A1A"/>
        </w:rPr>
        <w:t>Indonesia, 1997–98 — The Same Regional Shock, a Far Harder Landing</w:t>
      </w:r>
    </w:p>
    <w:p>
      <w:r>
        <w:t>Indonesia is included alongside South Korea specifically because both were hit by the same 1997 Asian financial crisis, yet their outcomes diverged sharply — a genuinely useful natural comparison for this paper's framework. Indonesia entered the crisis with a current account deficit and short-term foreign-currency corporate debt burden broadly comparable in scale to Korea's, and received a similarly large IMF-led package, ultimately totalling over $40 billion across successive agreements. But Indonesia's political response was markedly less decisive: President Suharto's government repeatedly wavered on implementing agreed reforms, briefly flirted publicly with a fixed currency-board proposal the IMF and most independent economists warned would be unsustainable given the state of Indonesia's reserves, and the rupiah ultimately lost over 80% of its value against the dollar — a far deeper collapse than Korea's won. The crisis cascaded into widespread bank failures, a deep recession, and sustained social and political unrest that ultimately ended Suharto's three-decade rule in May 1998.</w:t>
      </w:r>
    </w:p>
    <w:p>
      <w:r>
        <w:t>The comparison with Korea is, in this paper's reading, the cleanest available evidence that the speed and credibility of a government's commitment to an agreed adjustment programme — not simply the programme's technical design, which was broadly similar in both countries — is itself a first-order determinant of how a sudden stop resolves. Indonesia's eventual recovery, once a more stable government under President Habibie and then Abdurrahman Wahid committed more consistently to the IMF programme's terms from 1999 onward, followed a broadly similar arc to Korea's, simply delayed by roughly two years and achieved at a substantially higher cumulative cost in output, employment, and political stability.</w:t>
      </w:r>
    </w:p>
    <w:p>
      <w:pPr>
        <w:pStyle w:val="Heading2"/>
      </w:pPr>
      <w:r>
        <w:rPr>
          <w:color w:val="1A1A1A"/>
        </w:rPr>
        <w:t>South Korea, 1997–2001 — From Crisis Borrower to Early Repayer</w:t>
      </w:r>
    </w:p>
    <w:p>
      <w:r>
        <w:t>South Korea's 1997 crisis, part of the broader Asian financial crisis, forced a $58 billion IMF-led rescue package and a current account position that had itself been in deficit, financed by short-term dollar borrowing heavily concentrated in the country's bank-dependent conglomerates (chaebol). The adjustment that followed was severe — a deep 1998 recession, sweeping corporate and bank restructuring, and a won devaluation that, combined with compressed import demand, swung the current account from deficit into a large surplus within a single year. That swing, painful as its domestic cost was, funded a recovery fast enough that South Korea repaid its IMF obligations in full by 2001, years ahead of the original schedule — a case frequently cited, including by the IMF's own retrospective analysis, as one of the fastest post-crisis recoveries of a major economy in the Fund's modern history, though also one bought at a real and lasting cost to the country's traditional employment model, which shifted durably toward the more flexible, less secure labour arrangements still debated in Korean politics today.</w:t>
      </w:r>
    </w:p>
    <w:p>
      <w:pPr>
        <w:pStyle w:val="Heading2"/>
      </w:pPr>
      <w:r>
        <w:rPr>
          <w:color w:val="1A1A1A"/>
        </w:rPr>
        <w:t>Germany's Agenda 2010 — Competitiveness Bought With a Decade of Wage Restraint</w:t>
      </w:r>
    </w:p>
    <w:p>
      <w:r>
        <w:t>As set out in Part IV, Germany's Hartz labour reforms and a decade of wage growth held below productivity growth converted a current account deficit into the world's largest absolute surplus by 2016 — a genuine, measurable competitiveness turnaround achieved without currency devaluation, which the euro made unavailable as a tool. It stands, alongside South Korea, as evidence that structural reform can durably fix a current account position rather than merely financing through a temporary shock. It is included in this section, rather than being treated as an unqualified success story, because Part IV's criticism — that the same reforms produced a chronically underspending, under-investing domestic economy that has itself become a policy problem for the eurozone — is also real, documented, and unresolved as of this paper's publication.</w:t>
      </w:r>
    </w:p>
    <w:p>
      <w:pPr>
        <w:pStyle w:val="Heading2"/>
      </w:pPr>
      <w:r>
        <w:rPr>
          <w:color w:val="1A1A1A"/>
        </w:rPr>
        <w:t>Chile's Structural Fiscal Rule — Preventing a Crisis Rather Than Recovering From One</w:t>
      </w:r>
    </w:p>
    <w:p>
      <w:r>
        <w:t>Every intervention examined so far in this section responded to an already-unfolding crisis. Chile's structural (or "cyclically adjusted") fiscal balance rule, adopted in 2001 and refined since, is included specifically because it is a rare, well-documented case of an intervention designed to prevent one from occurring at all. As one of the world's largest copper exporters, Chile's government revenue is acutely exposed to swings in a single commodity price — a terms-of-trade vulnerability structurally similar to the energy-price exposure that compounded Sri Lanka's 2022 crisis. Rather than spending copper revenue as it arrives, Chile's rule requires the government to calculate a long-run estimate of the "structural" copper price and GDP trend, run fiscal policy against that structural estimate rather than the actual, volatile figures, and channel windfall revenue during high-price years into sovereign wealth funds (the Economic and Social Stabilization Fund and the Pension Reserve Fund) rather than current spending.</w:t>
      </w:r>
    </w:p>
    <w:p>
      <w:r>
        <w:t>The rule's clearest real-world test came during the 2008-09 global financial crisis, when a sharp copper price collapse hit Chilean government revenue directly: because prior windfall years had been saved rather than spent, Chile was able to run a large counter-cyclical fiscal stimulus precisely when its current account and fiscal position would otherwise have been most exposed, becoming one of the few emerging markets to expand fiscal policy meaningfully during that crisis rather than being forced into the kind of expenditure-reducing contraction examined in Part VI. This is the clearest evidence in this paper's entire research base that a terms-of-trade-linked current account vulnerability (Part V's fourth root cause) can be substantially defused years in advance of any shock, through a rule-based framework that removes the temptation — evident in Sri Lanka's pre-crisis fiscal decisions — to spend windfall revenue as though it were permanent.</w:t>
      </w:r>
    </w:p>
    <w:p>
      <w:pPr>
        <w:ind w:left="360"/>
      </w:pPr>
      <w:r>
        <w:rPr>
          <w:b/>
          <w:color w:val="1E4D7B"/>
          <w:sz w:val="18"/>
        </w:rPr>
        <w:t>The Honest Limitation</w:t>
        <w:br/>
      </w:r>
      <w:r>
        <w:rPr>
          <w:i/>
          <w:sz w:val="21"/>
        </w:rPr>
        <w:t xml:space="preserve">Chile's rule depends on a commodity revenue stream large and liquid enough to fund meaningful stabilisation funds, and on a degree of institutional and political consensus around the rule's independence — successive Chilean governments across the political spectrum have broadly maintained it since 2001 — that is not automatically available to every commodity-dependent economy. It is included as evidence the mechanism can work, not as a claim that adopting a similarly named rule guarantees a similar outcome absent comparable institutional durability, the same caveat Part VII.6 raises about structural reform generally.  </w:t>
      </w:r>
    </w:p>
    <w:p>
      <w:pPr>
        <w:pStyle w:val="Heading2"/>
      </w:pPr>
      <w:r>
        <w:rPr>
          <w:color w:val="1A1A1A"/>
        </w:rPr>
        <w:t>Sri Lanka's EFF — A Programme That Has Not (Yet) Derailed</w:t>
      </w:r>
    </w:p>
    <w:p>
      <w:r>
        <w:t>IMF programmes in acute sovereign-crisis countries have a mixed historical track record of staying on schedule; many are renegotiated, suspended, or replaced within their first two years. Sri Lanka's Extended Fund Facility, approved in March 2023, had by May 2026 completed a combined Fifth and Sixth Review — its sixth review milestone reached without a full programme restart — releasing a further $695 million tranche against continued conditions on revenue mobilisation, financial-sector stability, and sovereign debt restructuring. This is evidence of sustained, if slow and socially costly, adherence to an expenditure-reducing and structural-reform programme of the kind described in Part VI, not evidence that the underlying crisis is resolved; per-capita income, poverty rates, and public service quality in Sri Lanka remained, as of the most recent published data, well below pre-crisis 2019 levels.</w:t>
      </w:r>
    </w:p>
    <w:p>
      <w:pPr>
        <w:ind w:left="360"/>
      </w:pPr>
      <w:r>
        <w:rPr>
          <w:b/>
          <w:color w:val="1E4D7B"/>
          <w:sz w:val="18"/>
        </w:rPr>
        <w:t>The Honest Limitation</w:t>
        <w:br/>
      </w:r>
      <w:r>
        <w:rPr>
          <w:i/>
          <w:sz w:val="21"/>
        </w:rPr>
        <w:t xml:space="preserve">"Has not yet derailed" is a genuinely low bar, and this paper is explicit that it is being used as one. Sri Lanka's programme compliance is evidence that a structured, expenditure-reducing and reform-conditional path can be sustained through six review cycles in a genuine sovereign-default aftermath — a real and useful data point for Part VII's framework — but it is not, on the evidence available at this paper's publication, evidence that the Sri Lankan population has been made whole, or that debt sustainability is fully secured over the long run.  </w:t>
      </w:r>
    </w:p>
    <w:p>
      <w:pPr>
        <w:pStyle w:val="Heading1"/>
      </w:pPr>
      <w:r>
        <w:rPr>
          <w:color w:val="0D1F2D"/>
        </w:rPr>
        <w:t>Part VII — The Solutions Framework: Eight Pillars</w:t>
      </w:r>
    </w:p>
    <w:p>
      <w:r>
        <w:t>The eight pillars that follow are not eight independent options from which a country might select one or two; they are designed to function as a connected system, each pillar's evidence base drawn directly from one or more of Part III's four case studies and the real-world interventions catalogued above. Pillars One through Three are primarily preventive, reducing the probability a sudden stop occurs at all; Pillars Four through Seven are primarily responsive, shortening and softening a crisis once a shock has arrived; Pillar Eight binds the first seven together into a single ongoing monitoring discipline. A country implementing only the responsive pillars while neglecting the preventive ones is, on this paper's reading of the evidence, better positioned than a country with none of the eight, but still meaningfully more exposed than one that has invested in both halves of the framework — Chile's pre-crisis fiscal rule, examined in the real-evidence section above, is this paper's clearest illustration of the preventive half paying off precisely when it was needed most.</w:t>
      </w:r>
    </w:p>
    <w:p>
      <w:pPr>
        <w:pStyle w:val="Heading2"/>
      </w:pPr>
      <w:r>
        <w:rPr>
          <w:color w:val="1A1A1A"/>
        </w:rPr>
        <w:t>7.1 Pillar One: Fiscal Discipline as the First Line of Defence</w:t>
      </w:r>
    </w:p>
    <w:p>
      <w:r>
        <w:t>Given the twin-deficits mechanic in Part I and Part V, a credible, rules-based fiscal framework — not necessarily balanced-budget rigidity, but a transparent, monitored path for the fiscal deficit — is the single most direct lever available to a government seeking to narrow its own contribution to a current account deficit, and the one most within unilateral domestic control, unlike exchange-rate or capital-flow tools that depend partly on how the rest of the world responds. Sri Lanka's 2019 tax cuts, examined in Part V, are this pillar's clearest cautionary counter-example: a single fiscal policy decision, unconnected to any trade or currency event, widened the country's external vulnerability years before the acute crisis became visible, precisely because fiscal and external-balance policy are rarely evaluated jointly by the same institution in real time.</w:t>
      </w:r>
    </w:p>
    <w:p>
      <w:pPr>
        <w:pStyle w:val="Heading2"/>
      </w:pPr>
      <w:r>
        <w:rPr>
          <w:color w:val="1A1A1A"/>
        </w:rPr>
        <w:t>7.2 Pillar Two: Financing-Quality Disclosure and Monitoring</w:t>
      </w:r>
    </w:p>
    <w:p>
      <w:r>
        <w:t>Following directly from Part I's insight that a deficit's risk depends on who is financing it, not merely its size: require and publish a regular breakdown of current account financing by type — foreign direct investment, portfolio equity, portfolio debt, and short-term versus long-term borrowing — so that a deficit financed overwhelmingly by patient, long-term FDI is visibly distinguished from one financed by capital that can leave within a trading day, the precise distinction that separated India's more FDI-weighted post-2013 financing mix from Turkey's dollar-corporate-debt-heavy structure.</w:t>
      </w:r>
    </w:p>
    <w:p>
      <w:pPr>
        <w:pStyle w:val="Heading2"/>
      </w:pPr>
      <w:r>
        <w:rPr>
          <w:color w:val="1A1A1A"/>
        </w:rPr>
        <w:t>7.3 Pillar Three: Reserve Adequacy as a Standing Policy Target</w:t>
      </w:r>
    </w:p>
    <w:p>
      <w:r>
        <w:t>Maintain foreign exchange reserves against an explicit adequacy benchmark — commonly measured in months of import cover, or against the IMF's own reserve-adequacy metric weighting short-term debt, portfolio liabilities, and broad money — rather than treating reserve accumulation as incidental to other policy goals. Sri Lanka's 2022 collapse is, in significant part, a story of reserves depleted below any defensible adequacy threshold well before the crisis became visible to the public. Mexico's 1994 tesobono crisis makes the same point from a different angle: reserves were, at the time, assessed informally and irregularly rather than against any standing, published benchmark, which is precisely why the scale of the rollover risk was not widely appreciated by markets until the peso had already been forced to float.</w:t>
      </w:r>
    </w:p>
    <w:p>
      <w:pPr>
        <w:pStyle w:val="Heading2"/>
      </w:pPr>
      <w:r>
        <w:rPr>
          <w:color w:val="1A1A1A"/>
        </w:rPr>
        <w:t>7.4 Pillar Four: Pre-Approved, Rapidly Deployable Capital-Inflow Instruments</w:t>
      </w:r>
    </w:p>
    <w:p>
      <w:r>
        <w:t>India's FCNR(B) facility is the clearest evidence available that having a tested, rapidly deployable instrument ready before a crisis — rather than designing one during the crisis itself — materially shortens the time to stabilisation. This pillar recommends that central banks in deficit-financing-vulnerable economies design and, where feasible, legislate the framework for such an instrument in calm periods, so it can be activated within days rather than weeks when needed, following the 2026 RBI facility's own template directly.</w:t>
      </w:r>
    </w:p>
    <w:p>
      <w:pPr>
        <w:pStyle w:val="Heading2"/>
      </w:pPr>
      <w:r>
        <w:rPr>
          <w:color w:val="1A1A1A"/>
        </w:rPr>
        <w:t>7.5 Pillar Five: Exchange Rate Flexibility With a Managed Floor</w:t>
      </w:r>
    </w:p>
    <w:p>
      <w:r>
        <w:t>Neither a rigidly fixed exchange rate (which removes the expenditure-switching adjustment channel entirely, forcing the full burden onto expenditure-reducing measures, as the euro does for Germany and did, differently, for Sri Lanka's earlier managed-rate period) nor a fully free float in a genuinely panicked market (which can overshoot far past any level fundamentals justify) serves a deficit economy well in isolation. A managed float with a credible, pre-announced intervention framework — not a fixed peg, but not pure laissez-faire either — allows the depreciation-driven adjustment described in Part VI to occur while limiting the kind of overnight, nearly-10%, single-session move Turkey experienced in August 2018.</w:t>
      </w:r>
    </w:p>
    <w:p>
      <w:pPr>
        <w:pStyle w:val="Heading2"/>
      </w:pPr>
      <w:r>
        <w:rPr>
          <w:color w:val="1A1A1A"/>
        </w:rPr>
        <w:t>7.6 Pillar Six: Structural Competitiveness Reform, Sequenced Against Political Capacity</w:t>
      </w:r>
    </w:p>
    <w:p>
      <w:r>
        <w:t>Germany's and South Korea's experience both show structural reform works, but both were also politically costly enough that neither is easily replicated on demand. This pillar recommends sequencing structural reform to begin during periods of relative calm rather than being attempted only under acute crisis conditions (when Sri Lanka's experience shows it is both least popular and hardest to implement well), using fiscal space created by Pillar One to cushion the transition costs that made Hartz-era Germany and post-1998 Korea so painful domestically. Argentina's repeated post-2001 relapses are this pillar's strongest cautionary case: each of its governments since 2001 has, at some point, diagnosed broadly the same structural problem, yet none has sustained a reform programme through more than a single political cycle — evidence that a correct diagnosis and a durable fix are two entirely different achievements.</w:t>
      </w:r>
    </w:p>
    <w:p>
      <w:pPr>
        <w:pStyle w:val="Heading2"/>
      </w:pPr>
      <w:r>
        <w:rPr>
          <w:color w:val="1A1A1A"/>
        </w:rPr>
        <w:t>7.7 Pillar Seven: International Coordination and Swap-Line Architecture</w:t>
      </w:r>
    </w:p>
    <w:p>
      <w:r>
        <w:t>Bilateral and multilateral central bank swap lines — of the kind the U.S. Federal Reserve extended to select emerging markets during the 2008 and 2020 crises, though notably not universally — reduce the severity of a sudden stop by providing a credible backstop that itself lowers the probability markets will test a currency's defences in the first place. This pillar recommends deficit-vulnerable economies pursue standing, rather than ad hoc crisis-only, swap-line arrangements with major central banks and regional facilities (such as the Chiang Mai Initiative in Asia) as a peacetime priority.</w:t>
      </w:r>
    </w:p>
    <w:p>
      <w:pPr>
        <w:pStyle w:val="Heading2"/>
      </w:pPr>
      <w:r>
        <w:rPr>
          <w:color w:val="1A1A1A"/>
        </w:rPr>
        <w:t>7.8 Pillar Eight: A Transparent Early-Warning System</w:t>
      </w:r>
    </w:p>
    <w:p>
      <w:r>
        <w:t>Combine Pillars Two and Three — financing-quality disclosure and reserve-adequacy monitoring — into a single, publicly reported early-warning dashboard, reviewed by the same national authority on a fixed schedule, so that a deteriorating financing mix or falling reserve-adequacy ratio is visible to markets, policymakers and the public well before it reaches crisis-trigger levels, directly responding to the pattern visible across all four of Part III's case studies: in each, the underlying vulnerability was measurable and, in hindsight, visible for months or years before the acute crisis, but was not being tracked and reported in a form that forced policy attention earlier.</w:t>
      </w:r>
    </w:p>
    <w:tbl>
      <w:tblPr>
        <w:tblStyle w:val="LightGrid-Accent1"/>
        <w:tblW w:type="auto" w:w="0"/>
        <w:tblLook w:firstColumn="1" w:firstRow="1" w:lastColumn="0" w:lastRow="0" w:noHBand="0" w:noVBand="1" w:val="04A0"/>
      </w:tblPr>
      <w:tblGrid>
        <w:gridCol w:w="2880"/>
        <w:gridCol w:w="2880"/>
        <w:gridCol w:w="2880"/>
      </w:tblGrid>
      <w:tr>
        <w:tc>
          <w:tcPr>
            <w:tcW w:type="dxa" w:w="2880"/>
          </w:tcPr>
          <w:p>
            <w:r>
              <w:rPr>
                <w:b/>
              </w:rPr>
              <w:t>Pillar</w:t>
            </w:r>
          </w:p>
        </w:tc>
        <w:tc>
          <w:tcPr>
            <w:tcW w:type="dxa" w:w="2880"/>
          </w:tcPr>
          <w:p>
            <w:r>
              <w:rPr>
                <w:b/>
              </w:rPr>
              <w:t>Core Mechanism</w:t>
            </w:r>
          </w:p>
        </w:tc>
        <w:tc>
          <w:tcPr>
            <w:tcW w:type="dxa" w:w="2880"/>
          </w:tcPr>
          <w:p>
            <w:r>
              <w:rPr>
                <w:b/>
              </w:rPr>
              <w:t>Primary Evidence Base</w:t>
            </w:r>
          </w:p>
        </w:tc>
      </w:tr>
      <w:tr>
        <w:tc>
          <w:tcPr>
            <w:tcW w:type="dxa" w:w="2880"/>
          </w:tcPr>
          <w:p>
            <w:r>
              <w:t>1. Fiscal Discipline</w:t>
            </w:r>
          </w:p>
        </w:tc>
        <w:tc>
          <w:tcPr>
            <w:tcW w:type="dxa" w:w="2880"/>
          </w:tcPr>
          <w:p>
            <w:r>
              <w:t>Rules-based, monitored fiscal deficit path</w:t>
            </w:r>
          </w:p>
        </w:tc>
        <w:tc>
          <w:tcPr>
            <w:tcW w:type="dxa" w:w="2880"/>
          </w:tcPr>
          <w:p>
            <w:r>
              <w:t>Sri Lanka's 2019 tax cuts (cautionary)</w:t>
            </w:r>
          </w:p>
        </w:tc>
      </w:tr>
      <w:tr>
        <w:tc>
          <w:tcPr>
            <w:tcW w:type="dxa" w:w="2880"/>
          </w:tcPr>
          <w:p>
            <w:r>
              <w:t>2. Financing-Quality Disclosure</w:t>
            </w:r>
          </w:p>
        </w:tc>
        <w:tc>
          <w:tcPr>
            <w:tcW w:type="dxa" w:w="2880"/>
          </w:tcPr>
          <w:p>
            <w:r>
              <w:t>Publish financing composition, not just deficit size</w:t>
            </w:r>
          </w:p>
        </w:tc>
        <w:tc>
          <w:tcPr>
            <w:tcW w:type="dxa" w:w="2880"/>
          </w:tcPr>
          <w:p>
            <w:r>
              <w:t>Turkey 2018 vs. India's more FDI-weighted mix</w:t>
            </w:r>
          </w:p>
        </w:tc>
      </w:tr>
      <w:tr>
        <w:tc>
          <w:tcPr>
            <w:tcW w:type="dxa" w:w="2880"/>
          </w:tcPr>
          <w:p>
            <w:r>
              <w:t>3. Reserve Adequacy Targeting</w:t>
            </w:r>
          </w:p>
        </w:tc>
        <w:tc>
          <w:tcPr>
            <w:tcW w:type="dxa" w:w="2880"/>
          </w:tcPr>
          <w:p>
            <w:r>
              <w:t>Reserves benchmarked to short-term debt, not imports</w:t>
            </w:r>
          </w:p>
        </w:tc>
        <w:tc>
          <w:tcPr>
            <w:tcW w:type="dxa" w:w="2880"/>
          </w:tcPr>
          <w:p>
            <w:r>
              <w:t>Sri Lanka 2022; Mexico 1994</w:t>
            </w:r>
          </w:p>
        </w:tc>
      </w:tr>
      <w:tr>
        <w:tc>
          <w:tcPr>
            <w:tcW w:type="dxa" w:w="2880"/>
          </w:tcPr>
          <w:p>
            <w:r>
              <w:t>4. Pre-Approved Capital-Inflow Instruments</w:t>
            </w:r>
          </w:p>
        </w:tc>
        <w:tc>
          <w:tcPr>
            <w:tcW w:type="dxa" w:w="2880"/>
          </w:tcPr>
          <w:p>
            <w:r>
              <w:t>Design the tool before the crisis, not during it</w:t>
            </w:r>
          </w:p>
        </w:tc>
        <w:tc>
          <w:tcPr>
            <w:tcW w:type="dxa" w:w="2880"/>
          </w:tcPr>
          <w:p>
            <w:r>
              <w:t>India's FCNR(B), 2013 and 2026</w:t>
            </w:r>
          </w:p>
        </w:tc>
      </w:tr>
      <w:tr>
        <w:tc>
          <w:tcPr>
            <w:tcW w:type="dxa" w:w="2880"/>
          </w:tcPr>
          <w:p>
            <w:r>
              <w:t>5. Managed Exchange Rate Flexibility</w:t>
            </w:r>
          </w:p>
        </w:tc>
        <w:tc>
          <w:tcPr>
            <w:tcW w:type="dxa" w:w="2880"/>
          </w:tcPr>
          <w:p>
            <w:r>
              <w:t>Neither rigid peg nor unmanaged panic float</w:t>
            </w:r>
          </w:p>
        </w:tc>
        <w:tc>
          <w:tcPr>
            <w:tcW w:type="dxa" w:w="2880"/>
          </w:tcPr>
          <w:p>
            <w:r>
              <w:t>Turkey's single-session ~10% drop, Aug 2018</w:t>
            </w:r>
          </w:p>
        </w:tc>
      </w:tr>
      <w:tr>
        <w:tc>
          <w:tcPr>
            <w:tcW w:type="dxa" w:w="2880"/>
          </w:tcPr>
          <w:p>
            <w:r>
              <w:t>6. Sequenced Structural Reform</w:t>
            </w:r>
          </w:p>
        </w:tc>
        <w:tc>
          <w:tcPr>
            <w:tcW w:type="dxa" w:w="2880"/>
          </w:tcPr>
          <w:p>
            <w:r>
              <w:t>Begin reform in calm periods, cushioned by fiscal space</w:t>
            </w:r>
          </w:p>
        </w:tc>
        <w:tc>
          <w:tcPr>
            <w:tcW w:type="dxa" w:w="2880"/>
          </w:tcPr>
          <w:p>
            <w:r>
              <w:t>Germany's Agenda 2010; Argentina's relapses (cautionary)</w:t>
            </w:r>
          </w:p>
        </w:tc>
      </w:tr>
      <w:tr>
        <w:tc>
          <w:tcPr>
            <w:tcW w:type="dxa" w:w="2880"/>
          </w:tcPr>
          <w:p>
            <w:r>
              <w:t>7. International Swap-Line Architecture</w:t>
            </w:r>
          </w:p>
        </w:tc>
        <w:tc>
          <w:tcPr>
            <w:tcW w:type="dxa" w:w="2880"/>
          </w:tcPr>
          <w:p>
            <w:r>
              <w:t>Standing, not ad hoc, multilateral backstops</w:t>
            </w:r>
          </w:p>
        </w:tc>
        <w:tc>
          <w:tcPr>
            <w:tcW w:type="dxa" w:w="2880"/>
          </w:tcPr>
          <w:p>
            <w:r>
              <w:t>Mexico 1994's improvised $50bn rescue</w:t>
            </w:r>
          </w:p>
        </w:tc>
      </w:tr>
      <w:tr>
        <w:tc>
          <w:tcPr>
            <w:tcW w:type="dxa" w:w="2880"/>
          </w:tcPr>
          <w:p>
            <w:r>
              <w:t>8. Transparent Early-Warning System</w:t>
            </w:r>
          </w:p>
        </w:tc>
        <w:tc>
          <w:tcPr>
            <w:tcW w:type="dxa" w:w="2880"/>
          </w:tcPr>
          <w:p>
            <w:r>
              <w:t>Combine Pillars Two and Three into one public dashboard</w:t>
            </w:r>
          </w:p>
        </w:tc>
        <w:tc>
          <w:tcPr>
            <w:tcW w:type="dxa" w:w="2880"/>
          </w:tcPr>
          <w:p>
            <w:r>
              <w:t>All four Part III case studies (pattern visible in hindsight)</w:t>
            </w:r>
          </w:p>
        </w:tc>
      </w:tr>
    </w:tbl>
    <w:p>
      <w:pPr>
        <w:pStyle w:val="Heading1"/>
      </w:pPr>
      <w:r>
        <w:rPr>
          <w:color w:val="0D1F2D"/>
        </w:rPr>
        <w:t>Part VIII — A Practical Diagnostic Methodology</w:t>
      </w:r>
    </w:p>
    <w:p>
      <w:r>
        <w:t>Every case in Part III shares a common root: the vulnerability was measurable well before it became a crisis, but was not being assessed systematically enough, early enough, to trigger a policy response. This section sets out, step by step, the due-diligence sequence this paper argues a finance ministry, central bank, or sovereign investor should actually work through to assess a country's external vulnerability, translating the eight pillars above into an ordered checklist. The sequence below is deliberately ordered from the factors this paper's case studies show are most predictive of near-term crisis risk (financing composition, reserve buffers) toward those more relevant to medium-term sustainability (structural competitiveness, demographic trajectory) — an order intentionally mirroring the External Sustainability Score's own weighting in Part X, so that a user working manually through these nine steps and a user applying the composite score arrive at a consistent read of the same underlying risk.</w:t>
      </w:r>
    </w:p>
    <w:p>
      <w:pPr>
        <w:pStyle w:val="Heading2"/>
      </w:pPr>
      <w:r>
        <w:rPr>
          <w:color w:val="1A1A1A"/>
        </w:rPr>
        <w:t>8.1 Step One — Measure the Deficit, Then Immediately Ask What Is Financing It</w:t>
      </w:r>
    </w:p>
    <w:p>
      <w:r>
        <w:t>The headline current account deficit as a share of GDP is the least informative number in this entire methodology on its own — the same 4-5% deficit can be low-risk (predominantly FDI-financed, as in a country attracting genuine long-term productive investment) or acutely dangerous (predominantly short-term portfolio- or bank-debt-financed, as in Turkey 2018), and the number alone cannot distinguish the two. Break the financing composition down by type before drawing any conclusion from the headline figure.</w:t>
      </w:r>
    </w:p>
    <w:p>
      <w:pPr>
        <w:pStyle w:val="Heading2"/>
      </w:pPr>
      <w:r>
        <w:rPr>
          <w:color w:val="1A1A1A"/>
        </w:rPr>
        <w:t>8.2 Step Two — Check Reserve Adequacy Against Short-Term External Debt, Not Against Imports Alone</w:t>
      </w:r>
    </w:p>
    <w:p>
      <w:r>
        <w:t>Months-of-import cover, the traditional reserve-adequacy measure, understates risk in a country whose vulnerability is capital-flow-driven rather than trade-driven — precisely the India-2013 and Turkey-2018 pattern. The more informative test is reserves relative to short-term external debt coming due within twelve months: a ratio below one, as Sri Lanka's was by 2021-22, is a flashing signal regardless of how many months of imports the same reserve stock could theoretically cover.</w:t>
      </w:r>
    </w:p>
    <w:p>
      <w:pPr>
        <w:pStyle w:val="Heading2"/>
      </w:pPr>
      <w:r>
        <w:rPr>
          <w:color w:val="1A1A1A"/>
        </w:rPr>
        <w:t>8.3 Step Three — Assess Currency Mismatch in the Corporate and Banking Sector</w:t>
      </w:r>
    </w:p>
    <w:p>
      <w:r>
        <w:t>Following Turkey's 2018 experience directly: a current account deficit combined with heavy corporate or bank foreign-currency borrowing against largely domestic-currency revenue is a materially more dangerous combination than the same deficit with currency-matched balance sheets, because a depreciation that would otherwise be a stabilising adjustment instead directly increases the domestic-currency value of debt service obligations, potentially triggering corporate defaults that compound the currency crisis into a banking crisis.</w:t>
      </w:r>
    </w:p>
    <w:p>
      <w:pPr>
        <w:pStyle w:val="Heading2"/>
      </w:pPr>
      <w:r>
        <w:rPr>
          <w:color w:val="1A1A1A"/>
        </w:rPr>
        <w:t>8.4 Step Four — Test Fiscal Sustainability Independent of the Current Account</w:t>
      </w:r>
    </w:p>
    <w:p>
      <w:r>
        <w:t>Given the twin-deficits mechanic, assess the fiscal deficit and public debt trajectory on their own terms — Sri Lanka's 2019 tax cuts are the clearest example in this paper of a fiscal policy decision that widened an external vulnerability through a channel with no direct trade or exchange-rate component at all.</w:t>
      </w:r>
    </w:p>
    <w:p>
      <w:pPr>
        <w:pStyle w:val="Heading2"/>
      </w:pPr>
      <w:r>
        <w:rPr>
          <w:color w:val="1A1A1A"/>
        </w:rPr>
        <w:t>8.5 Step Five — Identify Terms-of-Trade Exposure</w:t>
      </w:r>
    </w:p>
    <w:p>
      <w:r>
        <w:t>Quantify how sensitive the current account is to a plausible shock in the price of the country's key imports (most commonly energy) or exports (commodities, for many emerging markets) — Sri Lanka's 2022 crisis was compounded, not caused outright, by a global energy price spike hitting a country with insufficient reserves to absorb it, a distinct and separately assessable risk from the financing-composition question in Step One.</w:t>
      </w:r>
    </w:p>
    <w:p>
      <w:pPr>
        <w:pStyle w:val="Heading2"/>
      </w:pPr>
      <w:r>
        <w:rPr>
          <w:color w:val="1A1A1A"/>
        </w:rPr>
        <w:t>8.6 Step Six — Confirm a Pre-Tested Rapid-Response Financing Instrument Exists</w:t>
      </w:r>
    </w:p>
    <w:p>
      <w:r>
        <w:t>Per Pillar Four, check whether the country has a designed, legally ready capital-inflow or swap instrument that could be activated within days of a shock, rather than one that would need to be designed from scratch mid-crisis — the single clearest differentiator, on this paper's evidence, between India's two comparatively contained episodes and Sri Lanka's uncontained one.</w:t>
      </w:r>
    </w:p>
    <w:p>
      <w:pPr>
        <w:pStyle w:val="Heading2"/>
      </w:pPr>
      <w:r>
        <w:rPr>
          <w:color w:val="1A1A1A"/>
        </w:rPr>
        <w:t>8.7 Step Seven — Evaluate Political Capacity for Structural Reform</w:t>
      </w:r>
    </w:p>
    <w:p>
      <w:r>
        <w:t>Assess, realistically, whether the country's political system has the institutional capacity to sustain a multi-year structural reform programme of the Agenda 2010 or post-1998-Korea type, given that such reforms' costs are front-loaded and their benefits delayed — a country facing a near-term election with no cross-party consensus on reform is a materially higher-risk case even holding every other factor constant.</w:t>
      </w:r>
    </w:p>
    <w:p>
      <w:pPr>
        <w:pStyle w:val="Heading2"/>
      </w:pPr>
      <w:r>
        <w:rPr>
          <w:color w:val="1A1A1A"/>
        </w:rPr>
        <w:t>8.8 Step Eight — Check International Backstop Access</w:t>
      </w:r>
    </w:p>
    <w:p>
      <w:r>
        <w:t>Confirm whether the country has standing swap-line access to major central banks or regional facilities (Pillar Seven), or would need to negotiate access during the crisis itself — access negotiated in advance is available faster and on more predictable terms than access sought for the first time once a currency is already under acute pressure, as Mexico's improvised 1994 rescue, assembled under extreme time pressure with no pre-existing framework, illustrates directly.</w:t>
      </w:r>
    </w:p>
    <w:p>
      <w:pPr>
        <w:pStyle w:val="Heading2"/>
      </w:pPr>
      <w:r>
        <w:rPr>
          <w:color w:val="1A1A1A"/>
        </w:rPr>
        <w:t>8.9 Step Nine — Weigh the Country's Demographic Trajectory</w:t>
      </w:r>
    </w:p>
    <w:p>
      <w:r>
        <w:t>Following Part V's demographic discussion directly: assess whether the country's age structure is likely to push its national saving rate higher or lower over the coming decade, independent of any near-term policy choice. A young, fast-growing population with a long earnings runway ahead of it will tend to widen a current account deficit through higher borrowing and consumption even under prudent policy, while an ageing population, as in Japan and increasingly Germany, will tend to push toward surplus regardless of policy stance — a slow-moving but highly predictable structural force that should temper how much of any given deficit or surplus a diagnostic exercise attributes to policy failure versus demographic destiny.</w:t>
      </w:r>
    </w:p>
    <w:p>
      <w:pPr>
        <w:ind w:left="360"/>
      </w:pPr>
      <w:r>
        <w:rPr>
          <w:b/>
          <w:color w:val="1E4D7B"/>
          <w:sz w:val="18"/>
        </w:rPr>
        <w:t>Applying the External Sustainability Score</w:t>
        <w:br/>
      </w:r>
      <w:r>
        <w:rPr>
          <w:i/>
          <w:sz w:val="21"/>
        </w:rPr>
        <w:t xml:space="preserve">The nine steps above are, in effect, a manual expansion of the composite metric introduced in Part X: steps 1, 3 and 6 feed the Financing Quality component; steps 2 and 8 feed the Reserve Buffer Adequacy component; and steps 4, 5, 7 and 9 feed the Competitiveness and Fiscal Resilience component. A country that scores well across all nine steps should, by construction, also score well on the ESS — the checklist and the metric are two representations of the same underlying due-diligence logic.  </w:t>
      </w:r>
    </w:p>
    <w:p>
      <w:pPr>
        <w:pStyle w:val="Heading1"/>
      </w:pPr>
      <w:r>
        <w:rPr>
          <w:color w:val="0D1F2D"/>
        </w:rPr>
        <w:t>Part IX — Anticipating Industry and Policy Pushback</w:t>
      </w:r>
    </w:p>
    <w:p>
      <w:pPr>
        <w:pStyle w:val="Heading2"/>
      </w:pPr>
      <w:r>
        <w:rPr>
          <w:color w:val="1A1A1A"/>
        </w:rPr>
        <w:t>9.1 "A Current Account Deficit Financing Productive Investment Is Not a Problem at All"</w:t>
      </w:r>
    </w:p>
    <w:p>
      <w:r>
        <w:t>This is correct as far as it goes, and this paper does not dispute it in principle — a deficit funding genuinely productive, tradeable-sector investment capacity is a fundamentally different risk than one funding a consumption boom. The practical difficulty, evident across all three of Part III's cases, is that the distinction is rarely as clean in real time as it is in retrospect: Turkey's pre-2018 corporate borrowing was partly productive investment and partly leveraged property and consumption exposure, and markets and regulators alike frequently cannot cleanly separate the two until a crisis has already forced the question. Pillar Two's financing-quality disclosure is this paper's proposed answer to that measurement problem, not a claim that all deficits are equally risky.</w:t>
      </w:r>
    </w:p>
    <w:p>
      <w:pPr>
        <w:pStyle w:val="Heading2"/>
      </w:pPr>
      <w:r>
        <w:rPr>
          <w:color w:val="1A1A1A"/>
        </w:rPr>
        <w:t>9.2 "Surplus Countries Are Not Doing Anything Wrong — They Are Simply Saving More"</w:t>
      </w:r>
    </w:p>
    <w:p>
      <w:r>
        <w:t>Also correct in isolation, and this paper explicitly declines to frame China's or Germany's surplus as morally equivalent to a deficit country's crisis. But the accounting identity in Part I cuts both ways: a persistent, large global surplus is, by construction, someone else's persistent, large deficit, and both the IMF's 2026 report and the Bank of England's 150-year analysis explicitly treat surplus-side rebalancing (raising domestic consumption in China, raising domestic investment in Germany) as equally necessary to resolving global imbalance as deficit-side adjustment — a position this paper endorses directly in Part XI's policy implications.</w:t>
      </w:r>
    </w:p>
    <w:p>
      <w:pPr>
        <w:pStyle w:val="Heading2"/>
      </w:pPr>
      <w:r>
        <w:rPr>
          <w:color w:val="1A1A1A"/>
        </w:rPr>
        <w:t>9.3 "This Framework Amounts to Recommending Capital Controls, Which Are Costly and Distortive"</w:t>
      </w:r>
    </w:p>
    <w:p>
      <w:r>
        <w:t>Several of this paper's eight pillars — particularly Pillar Four's pre-approved capital-inflow instruments — involve the state actively shaping capital flows rather than leaving them to an unregulated market, and this is the strongest objection the framework faces. The response is narrower than a blanket defence of capital controls: India's FCNR(B) instrument is not a restriction on outflows at all, but an incentive-based instrument to attract specific, targeted inflows during a defined stress window, closer in spirit to a targeted subsidy than to the outright capital-account restrictions (on outflows, or on speculative short-term inflows) that carry the more serious distortion costs documented in the broader capital-controls literature. This paper's framework favours such targeted, pre-designed, inflow-side instruments over blanket outflow restrictions specifically because the evidence in favour of the former (India, twice) is considerably stronger than the mixed historical evidence for the latter.</w:t>
      </w:r>
    </w:p>
    <w:p>
      <w:pPr>
        <w:pStyle w:val="Heading2"/>
      </w:pPr>
      <w:r>
        <w:rPr>
          <w:color w:val="1A1A1A"/>
        </w:rPr>
        <w:t>9.3b "Standing Rescue Architecture (Pillar Seven) Just Creates Moral Hazard — Countries Will Borrow Recklessly Knowing a Backstop Exists"</w:t>
      </w:r>
    </w:p>
    <w:p>
      <w:r>
        <w:t>This is the classic objection to any crisis-backstop mechanism, IMF lending included, and it has genuine theoretical force: if a government or its creditors know a standing rescue exists, both may take on more risk than they otherwise would. The empirical counter-evidence, on the record assembled in this paper, is mixed rather than one-sided. Argentina's repeated crises are, if anything, more consistent with a moral-hazard story than any of this paper's other cases — a government that has been rescued multiple times arguably has weaker incentives to avoid needing a fifth rescue than a government that has never been rescued at all. But India's 2013 and 2026 episodes cut the other way: far from encouraging recklessness, the existence of a tested rescue tool appears, on the evidence of the 2026 episode's milder currency move, to have reduced the severity of the shock itself, consistent with a "credible backstop deters the test" reading rather than a "backstop invites recklessness" one. This paper's position is that moral hazard is a real cost to weigh, not a decisive objection — the same trade-off exists, to varying degrees, in every insurance-like arrangement in economic life, and the appropriate response is designing conditionality (as the IMF's own EFF programmes do) rather than withholding backstops altogether.</w:t>
      </w:r>
    </w:p>
    <w:p>
      <w:pPr>
        <w:pStyle w:val="Heading2"/>
      </w:pPr>
      <w:r>
        <w:rPr>
          <w:color w:val="1A1A1A"/>
        </w:rPr>
        <w:t>9.4 "Why Not Simply Reform the International Reserve System Itself, Rather Than Asking Each Country to Manage Around It?"</w:t>
      </w:r>
    </w:p>
    <w:p>
      <w:r>
        <w:t>This is a genuine, long-standing proposal in international economics — replacing or supplementing the dollar's reserve role with a more neutral instrument, such as an expanded role for the IMF's Special Drawing Rights, has been debated since Keynes's own proposal for a global "bancor" currency at the 1944 Bretton Woods conference, and resurfaces in serious policy discussion after nearly every major reserve-currency-linked crisis. This paper's own view is that such reform, however conceptually appealing, has shown essentially no political momentum across eight decades of repeated discussion, and that a policy framework built on the assumption it will happen soon is not a serious framework. The eight-pillar approach in Part VII is deliberately designed to help individual countries manage within the existing dollar-centred system as it actually is, not to depend on a systemic reform this paper has no basis for assuming is imminent.</w:t>
      </w:r>
    </w:p>
    <w:p>
      <w:pPr>
        <w:pStyle w:val="Heading1"/>
      </w:pPr>
      <w:r>
        <w:rPr>
          <w:color w:val="0D1F2D"/>
        </w:rPr>
        <w:t>Part X — An Original Metric: The External Sustainability Score</w:t>
      </w:r>
    </w:p>
    <w:p>
      <w:r>
        <w:t>Every individual metric in common use — the current account deficit as a share of GDP, months of import cover, the external debt-to-GDP ratio — captures one dimension of external vulnerability in isolation. This paper proposes the External Sustainability Score (ESS), a composite index intended to let finance ministries, credit-rating analysts, and sovereign investors compare a country's external position across the dimensions that Part III's three case studies show matter jointly, rather than relying on the headline deficit number alone, which failed to flag Sri Lanka's collapse with anything like the urgency the underlying vulnerability warranted.</w:t>
      </w:r>
    </w:p>
    <w:p>
      <w:pPr>
        <w:ind w:left="360"/>
      </w:pPr>
      <w:r>
        <w:rPr>
          <w:b/>
          <w:color w:val="1E4D7B"/>
          <w:sz w:val="18"/>
        </w:rPr>
        <w:t>Illustrative Worked Example — Not a Real Country</w:t>
        <w:br/>
      </w:r>
      <w:r>
        <w:rPr>
          <w:i/>
          <w:sz w:val="21"/>
        </w:rPr>
        <w:t xml:space="preserve">ESS = (Financing Quality Index × 0.40) + (Reserve Buffer Adequacy Index × 0.35) + (Competitiveness &amp; Fiscal Resilience Index × 0.25), each sub-index normalised 0–100, where a lower composite score indicates higher combined external vulnerability. A hypothetical economy running a moderate 4% of GDP current account deficit, financed predominantly through short-term portfolio debt and bank borrowing (Financing Quality Index: 30/100), with reserves covering only 0.8 times its short-term external debt (Reserve Buffer Adequacy Index: 25/100), but with a credible medium-term fiscal consolidation plan and a competitive, diversified export base (Competitiveness &amp; Fiscal Resilience Index: 65/100) would score: (30×0.40)+(25×0.35)+(65×0.25) = 12+8.75+16.25 = 37/100 — a low composite score flagging the country as high-risk on the financing and reserve dimensions that Part III's case studies show matter most in an actual sudden stop, despite its genuinely sound underlying fiscal and competitiveness trajectory. This is this paper's own original proposal, illustrated with invented inputs, not a validated measurement of any existing country.  </w:t>
      </w:r>
    </w:p>
    <w:p>
      <w:r>
        <w:t>The weighting (40/35/25) reflects this paper's own judgement, informed directly by Part III, that financing composition and reserve buffers are the dimensions most predictive of a sudden, acute crisis, while competitiveness and fiscal resilience matter more for medium-term sustainability than for whether a country survives the next twelve months of market stress without a disorderly adjustment — a judgement Sri Lanka's case supports (a reserve and financing failure, not solely a competitiveness failure, was the proximate trigger) and India's 2013 and 2026 episodes reinforce (rapid financing-side intervention, not structural reform, ended the acute phase in both cases). Regulators or institutions adopting an ESS-style tool would set their own weights and thresholds; the framework's purpose is to make the trade-off explicit and comparable across countries, not to prescribe a single correct weighting.</w:t>
      </w:r>
    </w:p>
    <w:p>
      <w:pPr>
        <w:pStyle w:val="Heading2"/>
      </w:pPr>
      <w:r>
        <w:rPr>
          <w:color w:val="1A1A1A"/>
        </w:rPr>
        <w:t>10.1 How the Three Sub-Indices Would Actually Be Constructed</w:t>
      </w:r>
    </w:p>
    <w:p>
      <w:r>
        <w:t>Each of the ESS's three components is designed to be built from data already routinely collected by national authorities and the IMF, rather than requiring new data infrastructure. The Financing Quality Index would be constructed from the current account's financing breakdown examined in Step One of Part VIII — the share of financing from FDI and long-term portfolio equity (highest quality, scored closest to 100) versus short-term portfolio debt and bank borrowing (lowest quality, scored closest to 0), weighted by each category's share of total financing over a trailing four-quarter window to smooth single-quarter volatility. The Reserve Buffer Adequacy Index would be built from reserves measured against short-term external debt (Step Two), with a ratio at or above the widely used 1.0 threshold scored near 100 and a ratio below 0.5 — comparable to Sri Lanka's position ahead of its 2022 default — scored near 0. The Competitiveness &amp; Fiscal Resilience Index would combine a real effective exchange rate misalignment estimate, the primary fiscal balance trajectory, and — per Part VIII's ninth step — a demographic adjustment factor, each sub-weighted within the 25% component according to the same due-diligence logic set out in Part VIII. None of these three inputs requires proprietary data; all are already published, in some form, by the IMF, the Bank for International Settlements, or national central banks — the ESS's contribution is the composite weighting and comparison framework, not new underlying data collection.</w:t>
      </w:r>
    </w:p>
    <w:p>
      <w:pPr>
        <w:pStyle w:val="Heading2"/>
      </w:pPr>
      <w:r>
        <w:rPr>
          <w:color w:val="1A1A1A"/>
        </w:rPr>
        <w:t>10.2 What the ESS Would Not Have Caught, and Why That Matters</w:t>
      </w:r>
    </w:p>
    <w:p>
      <w:r>
        <w:t>In the interest of the same honesty this paper has applied to every other claim, it is worth naming where a retrospective ESS-style score would likely have fallen short. Turkey's 2018 crisis was triggered by a bilateral political dispute and a sudden U.S. tariff action — a geopolitical shock no financing-composition or reserve-adequacy metric, however well constructed, could have anticipated with any useful lead time, even though Turkey's underlying financing-quality score would independently have flagged elevated vulnerability for unrelated reasons. Argentina's recurring relapses are similarly a case where the technical score would likely have looked broadly similar across several of its pre-crisis years without capturing the specific political-economy dynamic — examined in Part VI.5 — that ultimately determined the outcome each time. The ESS, like every composite metric examined or proposed anywhere in this paper's framework, is a tool for identifying elevated structural vulnerability, not a forecasting model for the specific timing or trigger of a crisis; this paper makes no claim that it, or any tool like it, could do the latter.</w:t>
      </w:r>
    </w:p>
    <w:p>
      <w:pPr>
        <w:pStyle w:val="Heading1"/>
      </w:pPr>
      <w:r>
        <w:rPr>
          <w:color w:val="0D1F2D"/>
        </w:rPr>
        <w:t>Part XI — Policy Implications</w:t>
      </w:r>
    </w:p>
    <w:p>
      <w:pPr>
        <w:pStyle w:val="ListBullet"/>
      </w:pPr>
      <w:r>
        <w:t>For deficit-country finance ministries and central banks: treat financing-quality disclosure (Pillar Two) and a pre-designed, rapidly deployable capital-inflow instrument (Pillar Four) as peacetime priorities, not crisis-response improvisations — India's 2026 experience shows the second-time cost of having the instrument ready in advance is a matter of days, not months.</w:t>
      </w:r>
    </w:p>
    <w:p>
      <w:pPr>
        <w:pStyle w:val="ListBullet"/>
      </w:pPr>
      <w:r>
        <w:t>For surplus-country policymakers, in Beijing and Berlin alike: both the IMF's 2026 report and the Bank of England's 150-year analysis treat surplus-side rebalancing as equally necessary to resolving global imbalance as deficit-side adjustment; raising domestic consumption in China's case and domestic public investment in Germany's case are the specific, already-identified levers, not novel proposals.</w:t>
      </w:r>
    </w:p>
    <w:p>
      <w:pPr>
        <w:pStyle w:val="ListBullet"/>
      </w:pPr>
      <w:r>
        <w:t>For the IMF and regional financing arrangements: Sri Lanka's six-review compliance record through mid-2026 and South Korea's 2001 early repayment both argue for programme design that sustains political durability across multiple review cycles, rather than front-loading conditionality so severe it risks derailment before structural reforms can take hold.</w:t>
      </w:r>
    </w:p>
    <w:p>
      <w:pPr>
        <w:pStyle w:val="ListBullet"/>
      </w:pPr>
      <w:r>
        <w:t>For sovereign debt and currency investors: an ESS-style composite screen, applied ahead of a capital-allocation decision, would have flagged Sri Lanka's reserve and financing deterioration well ahead of the point at which market pricing actually moved to reflect it in 2021–22.</w:t>
      </w:r>
    </w:p>
    <w:p>
      <w:pPr>
        <w:pStyle w:val="ListBullet"/>
      </w:pPr>
      <w:r>
        <w:t>For central banks in reserve-currency-adjacent or trade-dependent economies generally: Pillar Seven's standing swap-line architecture is worth pursuing in calm periods specifically because its value is largely deterrent — a credible backstop that is never drawn on is, by this paper's reading of the evidence, doing exactly what it is meant to do.</w:t>
      </w:r>
    </w:p>
    <w:p>
      <w:pPr>
        <w:pStyle w:val="ListBullet"/>
      </w:pPr>
      <w:r>
        <w:t>For countries with recurring crisis histories, Argentina foremost among them: the lesson of Part III's fourth case study is not that the diagnosis is unclear — successive Argentine governments have each broadly understood the problem — but that durable reform requires political-institutional capacity, such as cross-party mechanisms that survive a change in government, that this paper's framework alone cannot supply; Pillar Six's sequencing recommendation is a necessary, not sufficient, condition.</w:t>
      </w:r>
    </w:p>
    <w:p>
      <w:pPr>
        <w:pStyle w:val="ListBullet"/>
      </w:pPr>
      <w:r>
        <w:t>For demographic and long-range planners: Part V's demographic analysis implies that a meaningful share of today's China-Germany-Japan surplus cluster against a younger United States is not fully correctable by policy on any near-term horizon, and multilateral surveillance frameworks (the IMF's own External Sector Report among them) should weight this distinction explicitly rather than treating every large, persistent surplus as equally amenable to a policy fix.</w:t>
      </w:r>
    </w:p>
    <w:p>
      <w:pPr>
        <w:pStyle w:val="ListBullet"/>
      </w:pPr>
      <w:r>
        <w:t>For households and the general public in a deficit-financing-vulnerable economy: the practical, individual-level takeaway from Part III's four case studies is that a current account crisis transmits directly into everyday life — through imported inflation, currency-linked loan costs for anyone holding foreign-currency debt, and, in Sri Lanka's case, physical shortages of fuel and food — well before it is widely understood as an "external sector" story rather than a cost-of-living one; public financial literacy around a country's own financing-quality and reserve-adequacy trends, made possible by Pillar Eight's transparent dashboard, is itself a form of household-level risk management.</w:t>
      </w:r>
    </w:p>
    <w:p>
      <w:pPr>
        <w:pStyle w:val="Heading1"/>
      </w:pPr>
      <w:r>
        <w:rPr>
          <w:color w:val="0D1F2D"/>
        </w:rPr>
        <w:t>Part XII — Conclusion</w:t>
      </w:r>
    </w:p>
    <w:p>
      <w:r>
        <w:t>A current account deficit is, at its core, an accounting statement about savings, investment, and government spending — not a verdict on a nation's character or a trading partner's fairness. But the Bank of England's own 150-year dataset shows that the scale and persistence of today's global imbalances have reached a level with few historical precedents, and the three deficit case studies in Part III show, in granular and human terms, what happens when the financing behind such a deficit stops arriving on the terms a country has come to expect: a 20% currency collapse contained within months in India's case; a currency crisis compounded by unorthodox policy into a multi-year inflation spiral in Turkey's; and a sovereign default, a constitutional crisis, and a fuel and food shortage severe enough to topple a government in Sri Lanka's.</w:t>
      </w:r>
    </w:p>
    <w:p>
      <w:r>
        <w:t>What distinguishes this paper's argument from a simple call for caution is the evidence, assembled in the real-world interventions section, that specific tools — a pre-tested, rapidly deployable capital-inflow instrument tried successfully twice, thirteen years apart, in India; a currency-and-restructuring adjustment that let South Korea repay its rescuers years ahead of schedule; a decade of wage restraint that converted Germany's current account from deficit to the world's largest surplus — have already measurably worked, each at real national scale, each with real and honestly documented costs alongside their successes. The choice facing finance ministries, central banks, and the multilateral institutions that backstop them is therefore not between growth and external discipline. It is between building the financing-quality disclosure, reserve buffers, and rapid-response instruments that have already been shown to contain a shock, and discovering — as Sri Lanka did in 2022, and as Indonesia's far harder landing alongside South Korea's contained one shows can depend as much on political will as on technical design — exactly how fast a current account deficit can stop being an accounting entry and start being a national emergency.</w:t>
      </w:r>
    </w:p>
    <w:p>
      <w:r>
        <w:t>Argentina's inclusion in this paper's sample is a deliberate reminder that the preceding paragraph's optimism has limits. Understanding the mechanism, as this paper has tried to set out in full, is a necessary condition for avoiding a sudden stop; it is demonstrably not a sufficient one, absent the political durability to sustain the chosen response across an electoral cycle or longer. Global current account imbalances are, on the Bank of England's own 150-year reading, near a historic high. Whether the next decade adds another country's name to Part III's list, or to Part VII's catalogue of what worked, will depend less on whether policymakers know what to do — by this point, for most of the tools in this paper's framework, they generally do — than on whether they can do it before the financing that makes a deficit possible decides, on its own terms and its own timeline, to stop.</w:t>
      </w:r>
    </w:p>
    <w:p>
      <w:pPr>
        <w:pStyle w:val="Heading2"/>
      </w:pPr>
      <w:r>
        <w:rPr>
          <w:color w:val="1A1A1A"/>
        </w:rPr>
        <w:t>References</w:t>
      </w:r>
    </w:p>
    <w:p>
      <w:r>
        <w:t>International Monetary Fund (2026). "2026 External Sector Report: Amid Rising Imbalances, the Need for Rebalancing." IMF, Washington, D.C.</w:t>
      </w:r>
    </w:p>
    <w:p>
      <w:r>
        <w:t>International Monetary Fund (2026). "Rising Global Imbalances Underscore Need to Confront Domestic Distortions." IMF Blog, July 30, 2026.</w:t>
      </w:r>
    </w:p>
    <w:p>
      <w:r>
        <w:t>International Monetary Fund (2026). World Economic Outlook, April 2026. IMF, Washington, D.C.</w:t>
      </w:r>
    </w:p>
    <w:p>
      <w:r>
        <w:t>Bank of England (2026). "Global Imbalances Are Back." Bank Insights, 2026.</w:t>
      </w:r>
    </w:p>
    <w:p>
      <w:r>
        <w:t>Bank of England (2026). "Rethinking Global Imbalances: Drivers, Risks, and Policy Priorities." BoE Staff Paper, 2026.</w:t>
      </w:r>
    </w:p>
    <w:p>
      <w:r>
        <w:t>Council on Foreign Relations (2026). "China's Massive Surplus Is Everywhere (Yet the IMF Still Has Trouble Seeing It Clearly)."</w:t>
      </w:r>
    </w:p>
    <w:p>
      <w:r>
        <w:t>Council on Foreign Relations (2026). "Better Late Than Never: The IMF Starts to Recognize Balance of Payments Reality."</w:t>
      </w:r>
    </w:p>
    <w:p>
      <w:r>
        <w:t>Market Business News (2026). "IMF Says Global Current-Account Gaps Widened in 2025, Led by China and the United States."</w:t>
      </w:r>
    </w:p>
    <w:p>
      <w:r>
        <w:t>Outlook Business (2026). "RBI Revives a Crisis-Era Tool. Can It Save the Rupee Again?"</w:t>
      </w:r>
    </w:p>
    <w:p>
      <w:r>
        <w:t>Business Today (2026). "RBI's 2013 Playbook Brought In $34 bn. Can the Latest Scheme Do It Again?"</w:t>
      </w:r>
    </w:p>
    <w:p>
      <w:r>
        <w:t>Business Standard (2026). "RBI Bears Hedging Costs: Banks May Offer 100 bps More on FCNR(B) Deposits."</w:t>
      </w:r>
    </w:p>
    <w:p>
      <w:r>
        <w:t>Cavalier.in (2026). "How the RBI's Dollar-Rupee Swap Window Pulled In $73 Billion."</w:t>
      </w:r>
    </w:p>
    <w:p>
      <w:r>
        <w:t>Business Standard (2016, archival). "FCNR Bonds Were 'Least Bad' Option to Raise Dollars: Rajan."</w:t>
      </w:r>
    </w:p>
    <w:p>
      <w:r>
        <w:t>Wikipedia (2026, accessed). "Turkish Economic Crisis (2018–present)."</w:t>
      </w:r>
    </w:p>
    <w:p>
      <w:r>
        <w:t>CNBC (2018). "Turkey Crisis: Economy Faces Weak Lira, Inflation, Debt and Tariffs."</w:t>
      </w:r>
    </w:p>
    <w:p>
      <w:r>
        <w:t>CSIS (2018). "The Turkish Economic Slowdown in 2018."</w:t>
      </w:r>
    </w:p>
    <w:p>
      <w:r>
        <w:t>Institute for International Political Economy Berlin (2018). "The Making of Turkey's Currency and Debt Crisis." Working Paper No. 120.</w:t>
      </w:r>
    </w:p>
    <w:p>
      <w:r>
        <w:t>IMF Staff Country Reports (2019). "Turkey: Staff Report for the 2019 Article IV Consultation."</w:t>
      </w:r>
    </w:p>
    <w:p>
      <w:r>
        <w:t>International Monetary Fund (2023). "Sri Lanka: Request for an Extended Arrangement Under the Extended Fund Facility." IMF Staff Country Report No. 2023/116.</w:t>
      </w:r>
    </w:p>
    <w:p>
      <w:r>
        <w:t>International Monetary Fund (2026). "IMF Executive Board Completes the Combined Fifth and Sixth Reviews Under the Extended Fund Facility for Sri Lanka." Press Release No. 26/172, May 27, 2026.</w:t>
      </w:r>
    </w:p>
    <w:p>
      <w:r>
        <w:t>International Monetary Fund (2026). "IMF Staff Reaches Staff-Level Agreement on the Combined Fifth and Sixth Reviews." Press Release No. 26/113, April 9, 2026.</w:t>
      </w:r>
    </w:p>
    <w:p>
      <w:r>
        <w:t>International Monetary Fund (2025). "IMF Executive Board Completes the Third Review Under the EFF Arrangement with Sri Lanka." Press Release No. 25/053.</w:t>
      </w:r>
    </w:p>
    <w:p>
      <w:r>
        <w:t>Wikipedia (2026, accessed). "Sri Lanka and the International Monetary Fund."</w:t>
      </w:r>
    </w:p>
    <w:p>
      <w:r>
        <w:t>International Monetary Fund (2001). "From Crisis to Recovery in Korea." IMF Working Paper 2001/154.</w:t>
      </w:r>
    </w:p>
    <w:p>
      <w:r>
        <w:t>International Monetary Fund (1999). Press Notice 99/115 on Korea's economic program.</w:t>
      </w:r>
    </w:p>
    <w:p>
      <w:r>
        <w:t>Kim, K.S. "The 1997 Financial Crisis and Governance: The Case of South Korea." Kellogg Institute, University of Notre Dame.</w:t>
      </w:r>
    </w:p>
    <w:p>
      <w:r>
        <w:t>Grokipedia (2026, accessed). "South Korea and the International Monetary Fund."</w:t>
      </w:r>
    </w:p>
    <w:p>
      <w:r>
        <w:t>Centre for European Reform (2020s). "Germany After the Hartz Reforms."</w:t>
      </w:r>
    </w:p>
    <w:p>
      <w:r>
        <w:t>Priewe, J. "Understanding Germany's Current Account Surplus." Boeckler Foundation working paper.</w:t>
      </w:r>
    </w:p>
    <w:p>
      <w:r>
        <w:t>Ifo Institute, reported via Yahoo Finance (2016). "German Current Account Surplus to Hit Record, World's Largest in 2016."</w:t>
      </w:r>
    </w:p>
    <w:p>
      <w:r>
        <w:t>CEPR VoxEU (2010s). "The Danger of Germany's Current Account Surpluses: Results of the CFM and CEPR Survey."</w:t>
      </w:r>
    </w:p>
    <w:p>
      <w:r>
        <w:t>World Finance (2020s). "Unbalanced Books: Germany's Controversial Current Account Surplus Has Grown Even Larger."</w:t>
      </w:r>
    </w:p>
    <w:p>
      <w:r>
        <w:t>European Commission, Directorate-General for Economic and Financial Affairs. "Germany: Selected Issues." Economic and Financial Affairs series.</w:t>
      </w:r>
    </w:p>
    <w:p>
      <w:r>
        <w:t>International Monetary Fund (2003). "Lessons from the Crisis in Argentina." IMF Policy Development and Review Department.</w:t>
      </w:r>
    </w:p>
    <w:p>
      <w:r>
        <w:t>International Monetary Fund (2018). "IMF Reaches Staff-Level Agreement with Argentina on a Three-Year Stand-By Arrangement." Press Release 18/245.</w:t>
      </w:r>
    </w:p>
    <w:p>
      <w:r>
        <w:t>Bernanke, B. (2005). "The Global Saving Glut and the U.S. Current Account Deficit." Federal Reserve Board remarks, Sandridge Lecture, Virginia Association of Economics.</w:t>
      </w:r>
    </w:p>
    <w:p>
      <w:r>
        <w:t>International Monetary Fund (1995, retrospective analyses through 2020s). "Mexico: Recovery from the 1994–95 Peso Crisis." IMF Staff Country Reports and Working Papers.</w:t>
      </w:r>
    </w:p>
    <w:p>
      <w:r>
        <w:t>U.S. Department of the Treasury (1997, archival). Records on repayment of the Exchange Stabilization Fund credit extended to Mexico, 1995–1997.</w:t>
      </w:r>
    </w:p>
    <w:p>
      <w:r>
        <w:t>International Monetary Fund (1998, retrospective analyses through 2020s). "Indonesia: Letters of Intent and Memoranda of Economic and Financial Policies," 1997–1999.</w:t>
      </w:r>
    </w:p>
    <w:p>
      <w:r>
        <w:t>World Bank (1998, retrospective). "East Asia: The Road to Recovery." Regional crisis assessment covering Indonesia, Korea, Thailand and Malaysia.</w:t>
      </w:r>
    </w:p>
    <w:p>
      <w:r>
        <w:t>International Monetary Fund (2013, retrospective). "Chile: Structural Fiscal Balance Rule — A Case Study." IMF Fiscal Affairs Department.</w:t>
      </w:r>
    </w:p>
    <w:p>
      <w:r>
        <w:t>Ministry of Finance, Government of Chile. "Economic and Social Stabilization Fund and Pension Reserve Fund" — official fund documentation and annual reports.</w:t>
      </w:r>
    </w:p>
    <w:p>
      <w:r>
        <w:t>This white paper is offered as a contribution to the debate on the policy architecture of external balance. The authors welcome comments, critique, and correction.</w:t>
      </w:r>
    </w:p>
    <w:p>
      <w:r>
        <w:rPr>
          <w:i/>
          <w:color w:val="6B6B6B"/>
          <w:sz w:val="18"/>
        </w:rPr>
        <w:t>Compiled with the assistance of AI tools for research synthesis and drafting, from an original policy-framework draft prepared for NextGen Economics, and reviewed by NextGen Economics. This is the fifteenth white paper published by NextGen Economics. — Pawan Bhatia · NextGen Economics · Bangalore, India ·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