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2000"/>
      </w:pPr>
      <w:r>
        <w:rPr>
          <w:rFonts w:ascii="Arial" w:cs="Arial" w:eastAsia="Arial" w:hAnsi="Arial"/>
          <w:b/>
          <w:bCs/>
          <w:caps/>
          <w:color w:val="B8860B"/>
          <w:spacing w:val="200"/>
          <w:sz w:val="22"/>
          <w:szCs w:val="22"/>
        </w:rPr>
        <w:t xml:space="preserve">NEXTGEN ECONOMICS</w:t>
      </w:r>
    </w:p>
    <w:p>
      <w:pPr>
        <w:spacing w:after="400" w:before="0"/>
      </w:pPr>
      <w:r>
        <w:rPr>
          <w:rFonts w:ascii="Arial" w:cs="Arial" w:eastAsia="Arial" w:hAnsi="Arial"/>
          <w:caps/>
          <w:color w:val="555555"/>
          <w:spacing w:val="80"/>
          <w:sz w:val="18"/>
          <w:szCs w:val="18"/>
        </w:rPr>
        <w:t xml:space="preserve">WHITE PAPER · HOUSING EQUITY &amp; SOCIAL IMPACT</w:t>
      </w:r>
    </w:p>
    <w:p>
      <w:pPr>
        <w:pBdr>
          <w:bottom w:val="single" w:color="B8860B" w:sz="8" w:space="1"/>
        </w:pBdr>
        <w:spacing w:after="240" w:before="60"/>
      </w:pPr>
      <w:r>
        <w:rPr>
          <w:sz w:val="2"/>
          <w:szCs w:val="2"/>
        </w:rPr>
        <w:t xml:space="preserve"/>
      </w:r>
    </w:p>
    <w:p>
      <w:pPr>
        <w:spacing w:after="120" w:before="400"/>
      </w:pPr>
      <w:r>
        <w:rPr>
          <w:rFonts w:ascii="Arial" w:cs="Arial" w:eastAsia="Arial" w:hAnsi="Arial"/>
          <w:b/>
          <w:bCs/>
          <w:color w:val="0A2540"/>
          <w:sz w:val="64"/>
          <w:szCs w:val="64"/>
        </w:rPr>
        <w:t xml:space="preserve">Blessings Equity: The ARK Foundation</w:t>
      </w:r>
    </w:p>
    <w:p>
      <w:pPr>
        <w:spacing w:after="300" w:before="0"/>
      </w:pPr>
      <w:r>
        <w:rPr>
          <w:rFonts w:ascii="Arial" w:cs="Arial" w:eastAsia="Arial" w:hAnsi="Arial"/>
          <w:i/>
          <w:iCs/>
          <w:color w:val="B8860B"/>
          <w:sz w:val="40"/>
          <w:szCs w:val="40"/>
        </w:rPr>
        <w:t xml:space="preserve">A 1% Equity Model for Housing Hundreds of Millions</w:t>
      </w:r>
    </w:p>
    <w:p>
      <w:pPr>
        <w:spacing w:after="300" w:before="0"/>
      </w:pPr>
      <w:r>
        <w:rPr>
          <w:rFonts w:ascii="Georgia" w:cs="Georgia" w:eastAsia="Georgia" w:hAnsi="Georgia"/>
          <w:i/>
          <w:iCs/>
          <w:color w:val="555555"/>
          <w:sz w:val="22"/>
          <w:szCs w:val="22"/>
        </w:rPr>
        <w:t xml:space="preserve">A practical blueprint for ending homelessness at scale — using proven equity-pledge mechanics, NGO-led community governance, and sustainable construction technology to build a credible pathway toward housing hundreds of millions of people over the coming decades.</w:t>
      </w:r>
    </w:p>
    <w:p>
      <w:pPr>
        <w:pBdr>
          <w:bottom w:val="single" w:color="B8860B" w:sz="8" w:space="1"/>
        </w:pBdr>
        <w:spacing w:after="240" w:before="60"/>
      </w:pPr>
      <w:r>
        <w:rPr>
          <w:sz w:val="2"/>
          <w:szCs w:val="2"/>
        </w:rPr>
        <w:t xml:space="preserve"/>
      </w:r>
    </w:p>
    <w:p>
      <w:pPr>
        <w:spacing w:after="60" w:before="300"/>
      </w:pPr>
      <w:r>
        <w:rPr>
          <w:rFonts w:ascii="Arial" w:cs="Arial" w:eastAsia="Arial" w:hAnsi="Arial"/>
          <w:b/>
          <w:bCs/>
          <w:color w:val="1A1A1A"/>
          <w:sz w:val="24"/>
          <w:szCs w:val="24"/>
        </w:rPr>
        <w:t xml:space="preserve">Pawan Bhatia</w:t>
      </w:r>
    </w:p>
    <w:p>
      <w:pPr>
        <w:spacing w:after="60" w:before="0"/>
      </w:pPr>
      <w:r>
        <w:rPr>
          <w:rFonts w:ascii="Arial" w:cs="Arial" w:eastAsia="Arial" w:hAnsi="Arial"/>
          <w:color w:val="555555"/>
          <w:sz w:val="20"/>
          <w:szCs w:val="20"/>
        </w:rPr>
        <w:t xml:space="preserve">NextGen Economics · Bangalore, India</w:t>
      </w:r>
    </w:p>
    <w:p>
      <w:pPr>
        <w:spacing w:after="400" w:before="0"/>
      </w:pPr>
      <w:r>
        <w:rPr>
          <w:rFonts w:ascii="Arial" w:cs="Arial" w:eastAsia="Arial" w:hAnsi="Arial"/>
          <w:color w:val="555555"/>
          <w:sz w:val="20"/>
          <w:szCs w:val="20"/>
        </w:rPr>
        <w:t xml:space="preserve">July 2026</w:t>
      </w:r>
    </w:p>
    <w:p>
      <w:r>
        <w:br w:type="page"/>
      </w:r>
    </w:p>
    <w:p>
      <w:pPr>
        <w:pBdr>
          <w:top w:val="single" w:color="D4D0C8" w:sz="4"/>
          <w:bottom w:val="single" w:color="D4D0C8" w:sz="4"/>
          <w:right w:val="none"/>
        </w:pBdr>
        <w:shd w:fill="F3F0E8" w:val="clear"/>
        <w:spacing w:after="200" w:before="0"/>
      </w:pPr>
      <w:r>
        <w:rPr>
          <w:rFonts w:ascii="Arial" w:cs="Arial" w:eastAsia="Arial" w:hAnsi="Arial"/>
          <w:i/>
          <w:iCs/>
          <w:color w:val="555555"/>
          <w:sz w:val="16"/>
          <w:szCs w:val="16"/>
        </w:rPr>
        <w:t xml:space="preserve">Compiled with the assistance of AI tools for data synthesis and drafting, and rigorously reviewed and verified by human subject matter experts.</w:t>
      </w:r>
    </w:p>
    <w:p>
      <w:pPr>
        <w:pStyle w:val="Heading1"/>
      </w:pPr>
      <w:r>
        <w:t xml:space="preserve">Abstract</w:t>
      </w:r>
    </w:p>
    <w:p>
      <w:pPr>
        <w:spacing w:after="200" w:line="320"/>
      </w:pPr>
      <w:r>
        <w:rPr>
          <w:rFonts w:ascii="Arial" w:cs="Arial" w:eastAsia="Arial" w:hAnsi="Arial"/>
          <w:sz w:val="22"/>
          <w:szCs w:val="22"/>
        </w:rPr>
        <w:t xml:space="preserve">In July 2026, nearly 3.4 billion people lack adequate housing globally. Over 1.1 billion live in informal settlements and slums. At least 330 million experience absolute homelessness. This is not an intractable problem. The capital exists, the construction technology exists, the governance models exist, and the legal frameworks are being built. What has been missing is a mechanism that connects private sector wealth to the scale of need without depending on governments to lead.</w:t>
      </w:r>
    </w:p>
    <w:p>
      <w:pPr>
        <w:spacing w:after="200" w:line="320"/>
      </w:pPr>
      <w:r>
        <w:rPr>
          <w:rFonts w:ascii="Arial" w:cs="Arial" w:eastAsia="Arial" w:hAnsi="Arial"/>
          <w:sz w:val="22"/>
          <w:szCs w:val="22"/>
        </w:rPr>
        <w:t xml:space="preserve">This white paper proposes that mechanism: The ARK Foundation, a global initiative requiring technology companies to contribute 1% of their annual equity to independent NGOs — one per country — to fund, build, and manage self-sustaining Mega-Communities housing 5,000 to 20,000 residents each. The model is not speculative. It is grounded in three proven precedents: the Pledge 1% movement (US$3.2 billion mobilized across 20,000 companies), Cisco’s catalytic housing investment (30:1 private-to-public leverage ratio), and the Emmaus community model (37 countries, resident self-governance, financial sustainability without government funding).</w:t>
      </w:r>
    </w:p>
    <w:p>
      <w:pPr>
        <w:spacing w:after="200" w:line="320"/>
      </w:pPr>
      <w:r>
        <w:rPr>
          <w:rFonts w:ascii="Arial" w:cs="Arial" w:eastAsia="Arial" w:hAnsi="Arial"/>
          <w:sz w:val="22"/>
          <w:szCs w:val="22"/>
        </w:rPr>
        <w:t xml:space="preserve">We assess four questions: what the true scale of the housing crisis is and why current approaches fall short; how the 1% equity model works in practice; what the Mega-Community model requires to operate at scale; and how NGO-led implementation with strategic government partnership can deliver this without political capture.</w:t>
      </w:r>
    </w:p>
    <w:p>
      <w:pPr>
        <w:spacing w:after="200" w:line="320"/>
      </w:pPr>
      <w:r>
        <w:rPr>
          <w:rFonts w:ascii="Arial" w:cs="Arial" w:eastAsia="Arial" w:hAnsi="Arial"/>
          <w:sz w:val="22"/>
          <w:szCs w:val="22"/>
        </w:rPr>
        <w:t xml:space="preserve">We conclude that the housing crisis is solvable within a decade if private capital is directed toward it with the same conviction currently directed toward existential technology risks. The Pledge 1% movement demonstrates that tech companies will make equity commitments when asked well and structured correctly. The question is not whether the capital is available. The question is whether the will exists to direct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CORE PROPOSITION</w:t>
            </w:r>
          </w:p>
          <w:p>
            <w:pPr>
              <w:spacing w:line="300"/>
            </w:pPr>
            <w:r>
              <w:rPr>
                <w:rFonts w:ascii="Arial" w:cs="Arial" w:eastAsia="Arial" w:hAnsi="Arial"/>
                <w:i/>
                <w:iCs/>
                <w:sz w:val="22"/>
                <w:szCs w:val="22"/>
              </w:rPr>
              <w:t xml:space="preserve">The global homelessness crisis is not a resource problem. It is an allocation problem. The capital, the technology, and the governance models already exist. The ARK Foundation is the mechanism to connect them: 1% of tech equity, directed through vetted NGOs, leveraged at appropriate ratios by jurisdiction, delivering self-sustaining communities housing 5,000 to 20,000 people each. The mechanism exists. The precedents exist. The path forward is to build it.</w:t>
            </w:r>
          </w:p>
        </w:tc>
      </w:tr>
    </w:tbl>
    <w:p>
      <w:r>
        <w:br w:type="page"/>
      </w:r>
    </w:p>
    <w:p>
      <w:pPr>
        <w:pStyle w:val="Heading1"/>
      </w:pPr>
      <w:r>
        <w:t xml:space="preserve">1. The Case for Equity-Based Housing</w:t>
      </w:r>
    </w:p>
    <w:p>
      <w:pPr>
        <w:pStyle w:val="Heading2"/>
      </w:pPr>
      <w:r>
        <w:t xml:space="preserve">1.1 The Scale of Unmet Need</w:t>
      </w:r>
    </w:p>
    <w:p>
      <w:pPr>
        <w:spacing w:after="200" w:line="320"/>
      </w:pPr>
      <w:r>
        <w:rPr>
          <w:rFonts w:ascii="Arial" w:cs="Arial" w:eastAsia="Arial" w:hAnsi="Arial"/>
          <w:sz w:val="22"/>
          <w:szCs w:val="22"/>
        </w:rPr>
        <w:t xml:space="preserve">In July 2026, 3.4 billion people lack adequate housing. That number is not a rounding error — it is nearly half the world’s population. The 330 million experiencing absolute homelessness are in the streets of San Francisco, outside the offices of the world’s most valuable companies; in the informal settlements ringing Mumbai, Lagos, and São Paulo; in the displacement camps of conflict zones. The crisis is not abstract. It is daily, visible, and measurable.</w:t>
      </w:r>
    </w:p>
    <w:p>
      <w:pPr>
        <w:spacing w:after="200" w:line="320"/>
      </w:pPr>
      <w:r>
        <w:rPr>
          <w:rFonts w:ascii="Arial" w:cs="Arial" w:eastAsia="Arial" w:hAnsi="Arial"/>
          <w:sz w:val="22"/>
          <w:szCs w:val="22"/>
        </w:rPr>
        <w:t xml:space="preserve">What makes this crisis unusual is that it is not intractable. Housing is not a frontier technology. We know how to build homes. We know how to govern communities. We know how to finance construction at scale. The gap is not technical; it is structural. Government housing programmes have failed to keep pace with urbanisation. International aid addresses acute displacement but not chronic shortage. Charity fills edges but cannot move at the scale required.</w:t>
      </w:r>
    </w:p>
    <w:p>
      <w:pPr>
        <w:spacing w:after="200" w:line="320"/>
      </w:pPr>
      <w:r>
        <w:rPr>
          <w:rFonts w:ascii="Arial" w:cs="Arial" w:eastAsia="Arial" w:hAnsi="Arial"/>
          <w:sz w:val="22"/>
          <w:szCs w:val="22"/>
        </w:rPr>
        <w:t xml:space="preserve">This paper argues that private sector equity — specifically, the equity accumulated by the technology sector over the past two decades — represents the most practical available lever for closing that structural gap. Not through charity. Not through corporate social responsibility. Through a legally binding, financially sustainable, equity-based endowment model that generates returns sufficient to fund community operations indefinitely.</w:t>
      </w:r>
    </w:p>
    <w:p>
      <w:pPr>
        <w:pStyle w:val="Heading2"/>
      </w:pPr>
      <w:r>
        <w:t xml:space="preserve">1.2 Why the Technology Sector</w:t>
      </w:r>
    </w:p>
    <w:p>
      <w:pPr>
        <w:spacing w:after="200" w:line="320"/>
      </w:pPr>
      <w:r>
        <w:rPr>
          <w:rFonts w:ascii="Arial" w:cs="Arial" w:eastAsia="Arial" w:hAnsi="Arial"/>
          <w:sz w:val="22"/>
          <w:szCs w:val="22"/>
        </w:rPr>
        <w:t xml:space="preserve">The technology sector is not the only source of private wealth, but it is the most structurally appropriate for this proposal for three reasons. First, it has generated extraordinary equity wealth rapidly — the market capitalisations of the top 10 technology companies exceed US$15 trillion. Second, it has already demonstrated willingness to make equity pledges through the Pledge 1% movement, which has enrolled 20,000 companies across 130 countries. Third, the cities where technology companies are headquartered — San Francisco, Seattle, London, Bengaluru — have among the highest rates of visible homelessness in the world.</w:t>
      </w:r>
    </w:p>
    <w:p>
      <w:pPr>
        <w:spacing w:after="200" w:line="320"/>
      </w:pPr>
      <w:r>
        <w:rPr>
          <w:rFonts w:ascii="Arial" w:cs="Arial" w:eastAsia="Arial" w:hAnsi="Arial"/>
          <w:sz w:val="22"/>
          <w:szCs w:val="22"/>
        </w:rPr>
        <w:t xml:space="preserve">This is not an accusation. Technology companies did not cause the housing crisis. But their growth has coincided with and contributed to housing unaffordability in the cities where they operate, through gentrification, wage competition, and concentration of economic activity. The ARK Pledge is not a punishment. It is a recognition that those who have benefited most from the urbanisation of knowledge work have the most capacity — and arguably the most reason — to address its most visible cost.</w:t>
      </w:r>
    </w:p>
    <w:p>
      <w:pPr>
        <w:pStyle w:val="Heading2"/>
      </w:pPr>
      <w:r>
        <w:t xml:space="preserve">1.3 What This Paper Does Not Argue</w:t>
      </w:r>
    </w:p>
    <w:p>
      <w:pPr>
        <w:spacing w:after="200" w:line="320"/>
      </w:pPr>
      <w:r>
        <w:rPr>
          <w:rFonts w:ascii="Arial" w:cs="Arial" w:eastAsia="Arial" w:hAnsi="Arial"/>
          <w:sz w:val="22"/>
          <w:szCs w:val="22"/>
        </w:rPr>
        <w:t xml:space="preserve">This paper does not argue that technology companies caused homelessness or are uniquely responsible for solving it. It does not argue that government housing programmes are unnecessary or that NGOs can replace the state. It does not claim that the ARK model is the only solution, or that it will work in every jurisdiction without adaptation. It argues one specific thing: that the equity-based endowment model, applied through vetted NGOs with strong governance, represents the most scalable, self-sustaining, and implementable private sector contribution to housing that currently exists — and that the precedents for it are already established.</w:t>
      </w:r>
    </w:p>
    <w:p>
      <w:pPr>
        <w:pStyle w:val="Heading2"/>
      </w:pPr>
      <w:r>
        <w:t xml:space="preserve">1.4 The Roadmap</w:t>
      </w:r>
    </w:p>
    <w:p>
      <w:pPr>
        <w:spacing w:after="200" w:line="320"/>
      </w:pPr>
      <w:r>
        <w:rPr>
          <w:rFonts w:ascii="Arial" w:cs="Arial" w:eastAsia="Arial" w:hAnsi="Arial"/>
          <w:sz w:val="22"/>
          <w:szCs w:val="22"/>
        </w:rPr>
        <w:t xml:space="preserve">This paper proceeds in four parts. Section 2 documents the scale of the housing crisis with data from UN-Habitat, the World Bank, and independent researchers, and examines why current approaches have failed to close the gap. Section 3 explains the 1% equity model — its mechanics, its precedents, and its advantages over cash-based giving. Section 4 sets out the Mega-Community design at different scales, with detailed attention to governance, sustainability, and climate resilience. Sections 5 and 6 address NGO governance and the economics of self-sustaining communities. Section 7 provides an implementation roadmap with realistic timelines.</w:t>
      </w:r>
    </w:p>
    <w:p>
      <w:pPr>
        <w:spacing w:after="200"/>
      </w:pPr>
      <w:r>
        <w:t xml:space="preserve"/>
      </w:r>
    </w:p>
    <w:p>
      <w:pPr>
        <w:pStyle w:val="Heading1"/>
      </w:pPr>
      <w:r>
        <w:t xml:space="preserve">2. The Housing Crisis at Scale</w:t>
      </w:r>
    </w:p>
    <w:p>
      <w:pPr>
        <w:pStyle w:val="Heading2"/>
      </w:pPr>
      <w:r>
        <w:t xml:space="preserve">2.1 The Global Housing Deficit</w:t>
      </w:r>
    </w:p>
    <w:p>
      <w:pPr>
        <w:spacing w:after="200" w:line="320"/>
      </w:pPr>
      <w:r>
        <w:rPr>
          <w:rFonts w:ascii="Arial" w:cs="Arial" w:eastAsia="Arial" w:hAnsi="Arial"/>
          <w:sz w:val="22"/>
          <w:szCs w:val="22"/>
        </w:rPr>
        <w:t xml:space="preserve">The United Nations Human Settlements Programme estimates between 1.6 billion and 3.4 billion people lack adequate housing globally (UN-Habitat Strategic Plan 2026–2029). The wide range reflects methodological variation in defining “adequate” housing across jurisdictions; the lower bound is the more conservative and defensible figure for comparative purposes. Over 1.12 billion lived in informal settlements and slums in 2022 — 130 million more than in 2015. At least 330 million experience absolute homelessness.</w:t>
      </w:r>
    </w:p>
    <w:p>
      <w:pPr>
        <w:spacing w:after="200" w:line="320"/>
      </w:pPr>
      <w:r>
        <w:rPr>
          <w:rFonts w:ascii="Arial" w:cs="Arial" w:eastAsia="Arial" w:hAnsi="Arial"/>
          <w:sz w:val="22"/>
          <w:szCs w:val="22"/>
        </w:rPr>
        <w:t xml:space="preserve">UN-Habitat Strategic Plan 2026–2029 confirms: nearly 2.8 billion people live in inadequate housing; more than 1.1 billion live in informal settlements; over 300 million are homeless. The World Cities Report 2026 notes that 123 million people are currently displaced worldwide, with housing crises driven by poverty, climate change, and rapid urbanization.</w:t>
      </w:r>
    </w:p>
    <w:p>
      <w:pPr>
        <w:spacing w:after="200" w:line="320"/>
      </w:pPr>
      <w:r>
        <w:rPr>
          <w:rFonts w:ascii="Arial" w:cs="Arial" w:eastAsia="Arial" w:hAnsi="Arial"/>
          <w:sz w:val="22"/>
          <w:szCs w:val="22"/>
        </w:rPr>
        <w:t xml:space="preserve">World Bank Housing Deficit Data: The World Bank estimates that about 68 million housing units in 64 emerging economies may need to be rebuilt, representing roughly 25% of the overall housing deficit. Their analysis found that, across all 64 countries, housing inadequacy correlated strongly with income level.</w:t>
      </w:r>
    </w:p>
    <w:p>
      <w:pPr>
        <w:pStyle w:val="Heading2"/>
      </w:pPr>
      <w:r>
        <w:t xml:space="preserve">2.2 Regional Crises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5400"/>
        <w:gridCol w:w="1800"/>
      </w:tblGrid>
      <w:tr>
        <w:trPr>
          <w:tblHeader/>
        </w:trPr>
        <w:tc>
          <w:tcPr>
            <w:tcW w:type="dxa" w:w="1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Region</w:t>
            </w:r>
          </w:p>
        </w:tc>
        <w:tc>
          <w:tcPr>
            <w:tcW w:type="dxa" w:w="54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The Crisis</w:t>
            </w:r>
          </w:p>
        </w:tc>
        <w:tc>
          <w:tcPr>
            <w:tcW w:type="dxa" w:w="1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Source</w:t>
            </w:r>
          </w:p>
        </w:tc>
      </w:tr>
      <w:tr>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USA</w:t>
            </w:r>
          </w:p>
        </w:tc>
        <w:tc>
          <w:tcPr>
            <w:tcW w:type="dxa" w:w="5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Silicon Valley — home to tech headquarters — has the fourth-largest homeless population in the country</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Destination: Home</w:t>
            </w:r>
          </w:p>
        </w:tc>
      </w:tr>
      <w:tr>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India</w:t>
            </w:r>
          </w:p>
        </w:tc>
        <w:tc>
          <w:tcPr>
            <w:tcW w:type="dxa" w:w="5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1.8 million urban homeless; rural-to-urban migration flooding slums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Government of India</w:t>
            </w:r>
          </w:p>
        </w:tc>
      </w:tr>
      <w:tr>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Nigeria</w:t>
            </w:r>
          </w:p>
        </w:tc>
        <w:tc>
          <w:tcPr>
            <w:tcW w:type="dxa" w:w="5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Over 24 million internally displaced due to climate and conflict</w:t>
            </w:r>
          </w:p>
        </w:tc>
        <w:tc>
          <w:tcPr>
            <w:tcW w:type="dxa" w:w="1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IDMC</w:t>
            </w:r>
          </w:p>
        </w:tc>
      </w:tr>
      <w:tr>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Europe</w:t>
            </w:r>
          </w:p>
        </w:tc>
        <w:tc>
          <w:tcPr>
            <w:tcW w:type="dxa" w:w="5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Soaring energy costs make old housing unlivable; refugee crises</w:t>
            </w:r>
          </w:p>
        </w:tc>
        <w:tc>
          <w:tcPr>
            <w:tcW w:type="dxa" w:w="1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UNHCR</w:t>
            </w:r>
          </w:p>
        </w:tc>
      </w:tr>
    </w:tbl>
    <w:p>
      <w:pPr>
        <w:spacing w:after="100"/>
      </w:pPr>
      <w:r>
        <w:t xml:space="preserve"/>
      </w:r>
    </w:p>
    <w:p>
      <w:pPr>
        <w:pStyle w:val="Heading2"/>
      </w:pPr>
      <w:r>
        <w:t xml:space="preserve">2.3 The Economic Cost of Homelessness</w:t>
      </w:r>
    </w:p>
    <w:p>
      <w:pPr>
        <w:spacing w:after="200" w:line="320"/>
      </w:pPr>
      <w:r>
        <w:rPr>
          <w:rFonts w:ascii="Arial" w:cs="Arial" w:eastAsia="Arial" w:hAnsi="Arial"/>
          <w:sz w:val="22"/>
          <w:szCs w:val="22"/>
        </w:rPr>
        <w:t xml:space="preserve">Homelessness is not just a moral crisis; it is an economic one. Studies consistently show that providing housing is cheaper than managing homelessness.</w:t>
      </w:r>
    </w:p>
    <w:p>
      <w:pPr>
        <w:pStyle w:val="ListParagraph"/>
        <w:numPr>
          <w:ilvl w:val="0"/>
          <w:numId w:val="2"/>
        </w:numPr>
        <w:spacing w:after="120" w:line="300"/>
      </w:pPr>
      <w:r>
        <w:rPr>
          <w:rFonts w:ascii="Arial" w:cs="Arial" w:eastAsia="Arial" w:hAnsi="Arial"/>
          <w:sz w:val="22"/>
          <w:szCs w:val="22"/>
        </w:rPr>
        <w:t xml:space="preserve">UK: A single Emmaus community generated over £800,000 in annual public spending savings through reduced housing, health, and justice system costs (Emmaus UK Annual Report, 2023–2024 — independently audited).</w:t>
      </w:r>
    </w:p>
    <w:p>
      <w:pPr>
        <w:pStyle w:val="ListParagraph"/>
        <w:numPr>
          <w:ilvl w:val="0"/>
          <w:numId w:val="2"/>
        </w:numPr>
        <w:spacing w:after="120" w:line="300"/>
      </w:pPr>
      <w:r>
        <w:rPr>
          <w:rFonts w:ascii="Arial" w:cs="Arial" w:eastAsia="Arial" w:hAnsi="Arial"/>
          <w:sz w:val="22"/>
          <w:szCs w:val="22"/>
        </w:rPr>
        <w:t xml:space="preserve">USA: The National Alliance to End Homelessness estimates that the average cost of emergency shelter, incarceration, and healthcare for a homeless individual is US$30,000–50,000 per year — more than the cost of providing permanent supportive housing.</w:t>
      </w:r>
    </w:p>
    <w:p>
      <w:pPr>
        <w:pStyle w:val="ListParagraph"/>
        <w:numPr>
          <w:ilvl w:val="0"/>
          <w:numId w:val="2"/>
        </w:numPr>
        <w:spacing w:after="120" w:line="300"/>
      </w:pPr>
      <w:r>
        <w:rPr>
          <w:rFonts w:ascii="Arial" w:cs="Arial" w:eastAsia="Arial" w:hAnsi="Arial"/>
          <w:sz w:val="22"/>
          <w:szCs w:val="22"/>
        </w:rPr>
        <w:t xml:space="preserve">Canada: The At Home/Chez Soi project found that Housing First interventions saved CA$2.17 for every CA$1 invested.</w:t>
      </w:r>
    </w:p>
    <w:p>
      <w:pPr>
        <w:pStyle w:val="Heading2"/>
      </w:pPr>
      <w:r>
        <w:t xml:space="preserve">2.4 The Cost of Inaction</w:t>
      </w:r>
    </w:p>
    <w:p>
      <w:pPr>
        <w:spacing w:after="200" w:line="320"/>
      </w:pPr>
      <w:r>
        <w:rPr>
          <w:rFonts w:ascii="Arial" w:cs="Arial" w:eastAsia="Arial" w:hAnsi="Arial"/>
          <w:sz w:val="22"/>
          <w:szCs w:val="22"/>
        </w:rPr>
        <w:t xml:space="preserve">If we do nothing, the crisis will worsen. By 2030: urban population will grow by 1.5 billion, with most growth in developing countries already struggling with housing deficits; climate change will displace an additional 100–200 million people, many of whom will require housing; the housing deficit in emerging economies will grow from 68 million to over 100 million units.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500"/>
      </w:tblGrid>
      <w:tr>
        <w:trPr>
          <w:tblHeader/>
        </w:trPr>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Indicator</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Current</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Projected (2030)</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People lacking adequate housing</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1.6–3.4B</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2.5–4.0B</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Informal settlement residents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1.12B</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1.5B+</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Absolute homelessness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330M</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400M+</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Displaced people</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123M</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200M+</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Housing deficit (emerging economies)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68M units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100M+ units</w:t>
            </w:r>
          </w:p>
        </w:tc>
      </w:tr>
    </w:tbl>
    <w:p>
      <w:pPr>
        <w:spacing w:after="100"/>
      </w:pPr>
      <w:r>
        <w:t xml:space="preserve"/>
      </w:r>
    </w:p>
    <w:p>
      <w:pPr>
        <w:pStyle w:val="Heading2"/>
      </w:pPr>
      <w:r>
        <w:t xml:space="preserve">2.5 The Tech Connection</w:t>
      </w:r>
    </w:p>
    <w:p>
      <w:pPr>
        <w:spacing w:after="200" w:line="320"/>
      </w:pPr>
      <w:r>
        <w:rPr>
          <w:rFonts w:ascii="Arial" w:cs="Arial" w:eastAsia="Arial" w:hAnsi="Arial"/>
          <w:sz w:val="22"/>
          <w:szCs w:val="22"/>
        </w:rPr>
        <w:t xml:space="preserve">There is a profound irony: the cities that house tech headquarters — San Francisco, Seattle, London, Bengaluru — have the highest rates of visible homelessness. The very companies that have created unprecedented wealth have also contributed to the housing crisis through:</w:t>
      </w:r>
    </w:p>
    <w:p>
      <w:pPr>
        <w:pStyle w:val="ListParagraph"/>
        <w:numPr>
          <w:ilvl w:val="0"/>
          <w:numId w:val="2"/>
        </w:numPr>
        <w:spacing w:after="120" w:line="300"/>
      </w:pPr>
      <w:r>
        <w:rPr>
          <w:rFonts w:ascii="Arial" w:cs="Arial" w:eastAsia="Arial" w:hAnsi="Arial"/>
          <w:sz w:val="22"/>
          <w:szCs w:val="22"/>
        </w:rPr>
        <w:t xml:space="preserve">Displacement: Tech campus expansions have gentrified neighborhoods, displacing low-income residents.</w:t>
      </w:r>
    </w:p>
    <w:p>
      <w:pPr>
        <w:pStyle w:val="ListParagraph"/>
        <w:numPr>
          <w:ilvl w:val="0"/>
          <w:numId w:val="2"/>
        </w:numPr>
        <w:spacing w:after="120" w:line="300"/>
      </w:pPr>
      <w:r>
        <w:rPr>
          <w:rFonts w:ascii="Arial" w:cs="Arial" w:eastAsia="Arial" w:hAnsi="Arial"/>
          <w:sz w:val="22"/>
          <w:szCs w:val="22"/>
        </w:rPr>
        <w:t xml:space="preserve">Wage Stagnation: Automation and digitization have displaced traditional labor, contributing to wage stagnation and housing unaffordability.</w:t>
      </w:r>
    </w:p>
    <w:p>
      <w:pPr>
        <w:pStyle w:val="ListParagraph"/>
        <w:numPr>
          <w:ilvl w:val="0"/>
          <w:numId w:val="2"/>
        </w:numPr>
        <w:spacing w:after="120" w:line="300"/>
      </w:pPr>
      <w:r>
        <w:rPr>
          <w:rFonts w:ascii="Arial" w:cs="Arial" w:eastAsia="Arial" w:hAnsi="Arial"/>
          <w:sz w:val="22"/>
          <w:szCs w:val="22"/>
        </w:rPr>
        <w:t xml:space="preserve">Wealth Concentration: The tech sector has concentrated wealth in a few cities, driving up housing costs for everyone.</w:t>
      </w:r>
    </w:p>
    <w:p>
      <w:pPr>
        <w:spacing w:after="200" w:line="320"/>
      </w:pPr>
      <w:r>
        <w:rPr>
          <w:rFonts w:ascii="Arial" w:cs="Arial" w:eastAsia="Arial" w:hAnsi="Arial"/>
          <w:sz w:val="22"/>
          <w:szCs w:val="22"/>
        </w:rPr>
        <w:t xml:space="preserve">As Cisco recognized explicitly: “The economy was thriving, the tech sector was thriving, and yet there was a real need in our own community.” The company shifted philanthropic focus from global initiatives to local impact, committing US$50 million over five years to address homelessness in Santa Clara County.</w:t>
      </w:r>
    </w:p>
    <w:p>
      <w:pPr>
        <w:spacing w:after="200"/>
      </w:pPr>
      <w:r>
        <w:t xml:space="preserve"/>
      </w:r>
    </w:p>
    <w:p>
      <w:pPr>
        <w:pStyle w:val="Heading1"/>
      </w:pPr>
      <w:r>
        <w:t xml:space="preserve">3. The 1% Equity Model</w:t>
      </w:r>
    </w:p>
    <w:p>
      <w:pPr>
        <w:pStyle w:val="Heading2"/>
      </w:pPr>
      <w:r>
        <w:t xml:space="preserve">3.1 The Pledge 1% Precedent</w:t>
      </w:r>
    </w:p>
    <w:p>
      <w:pPr>
        <w:spacing w:after="200" w:line="320"/>
      </w:pPr>
      <w:r>
        <w:rPr>
          <w:rFonts w:ascii="Arial" w:cs="Arial" w:eastAsia="Arial" w:hAnsi="Arial"/>
          <w:sz w:val="22"/>
          <w:szCs w:val="22"/>
        </w:rPr>
        <w:t xml:space="preserve">The Pledge 1% movement, co-founded by Salesforce, Atlassian, and Rally in 2015, provides the most direct precedent for the 1% equity proposal. The following figures are drawn from Pledge 1%’s Annual Impact Report (2025) and represent verified programme data: by 2025, the initiative had grown to nearly 20,000 companies across 130 countries, collectively mobilizing more than US$3.2 billion in equity for social impact.</w:t>
      </w:r>
    </w:p>
    <w:p>
      <w:pPr>
        <w:spacing w:after="200" w:line="320"/>
      </w:pPr>
      <w:r>
        <w:rPr>
          <w:rFonts w:ascii="Arial" w:cs="Arial" w:eastAsia="Arial" w:hAnsi="Arial"/>
          <w:sz w:val="22"/>
          <w:szCs w:val="22"/>
        </w:rPr>
        <w:t xml:space="preserve">Key Metrics:</w:t>
      </w:r>
    </w:p>
    <w:p>
      <w:pPr>
        <w:pStyle w:val="ListParagraph"/>
        <w:numPr>
          <w:ilvl w:val="0"/>
          <w:numId w:val="2"/>
        </w:numPr>
        <w:spacing w:after="120" w:line="300"/>
      </w:pPr>
      <w:r>
        <w:rPr>
          <w:rFonts w:ascii="Arial" w:cs="Arial" w:eastAsia="Arial" w:hAnsi="Arial"/>
          <w:sz w:val="22"/>
          <w:szCs w:val="22"/>
        </w:rPr>
        <w:t xml:space="preserve">19,500+ companies across 130 countries</w:t>
      </w:r>
    </w:p>
    <w:p>
      <w:pPr>
        <w:pStyle w:val="ListParagraph"/>
        <w:numPr>
          <w:ilvl w:val="0"/>
          <w:numId w:val="2"/>
        </w:numPr>
        <w:spacing w:after="120" w:line="300"/>
      </w:pPr>
      <w:r>
        <w:rPr>
          <w:rFonts w:ascii="Arial" w:cs="Arial" w:eastAsia="Arial" w:hAnsi="Arial"/>
          <w:sz w:val="22"/>
          <w:szCs w:val="22"/>
        </w:rPr>
        <w:t xml:space="preserve">US$3.2 billion in equity ignited for social impact</w:t>
      </w:r>
    </w:p>
    <w:p>
      <w:pPr>
        <w:pStyle w:val="ListParagraph"/>
        <w:numPr>
          <w:ilvl w:val="0"/>
          <w:numId w:val="2"/>
        </w:numPr>
        <w:spacing w:after="120" w:line="300"/>
      </w:pPr>
      <w:r>
        <w:rPr>
          <w:rFonts w:ascii="Arial" w:cs="Arial" w:eastAsia="Arial" w:hAnsi="Arial"/>
          <w:sz w:val="22"/>
          <w:szCs w:val="22"/>
        </w:rPr>
        <w:t xml:space="preserve">1,800+ Australian companies including Atlassian, Canva, Culture Amp, and Airwallex</w:t>
      </w:r>
    </w:p>
    <w:p>
      <w:pPr>
        <w:pStyle w:val="ListParagraph"/>
        <w:numPr>
          <w:ilvl w:val="0"/>
          <w:numId w:val="2"/>
        </w:numPr>
        <w:spacing w:after="120" w:line="300"/>
      </w:pPr>
      <w:r>
        <w:rPr>
          <w:rFonts w:ascii="Arial" w:cs="Arial" w:eastAsia="Arial" w:hAnsi="Arial"/>
          <w:sz w:val="22"/>
          <w:szCs w:val="22"/>
        </w:rPr>
        <w:t xml:space="preserve">60+ unicorn companies have set aside equity for impact</w:t>
      </w:r>
    </w:p>
    <w:p>
      <w:pPr>
        <w:pStyle w:val="ListParagraph"/>
        <w:numPr>
          <w:ilvl w:val="0"/>
          <w:numId w:val="2"/>
        </w:numPr>
        <w:spacing w:after="120" w:line="300"/>
      </w:pPr>
      <w:r>
        <w:rPr>
          <w:rFonts w:ascii="Arial" w:cs="Arial" w:eastAsia="Arial" w:hAnsi="Arial"/>
          <w:sz w:val="22"/>
          <w:szCs w:val="22"/>
        </w:rPr>
        <w:t xml:space="preserve">Impact worth approximately US$1 million per day</w:t>
      </w:r>
    </w:p>
    <w:p>
      <w:pPr>
        <w:pStyle w:val="ListParagraph"/>
        <w:numPr>
          <w:ilvl w:val="0"/>
          <w:numId w:val="2"/>
        </w:numPr>
        <w:spacing w:after="120" w:line="300"/>
      </w:pPr>
      <w:r>
        <w:rPr>
          <w:rFonts w:ascii="Arial" w:cs="Arial" w:eastAsia="Arial" w:hAnsi="Arial"/>
          <w:sz w:val="22"/>
          <w:szCs w:val="22"/>
        </w:rPr>
        <w:t xml:space="preserve">95% satisfaction score across Builder program offerings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SCOTT FARQUHAR, ATLASSIAN CO-FOUNDER &amp; INCOMING BOARD CHAIR OF PLEDGE 1%</w:t>
            </w:r>
          </w:p>
          <w:p>
            <w:pPr>
              <w:spacing w:line="300"/>
            </w:pPr>
            <w:r>
              <w:rPr>
                <w:rFonts w:ascii="Arial" w:cs="Arial" w:eastAsia="Arial" w:hAnsi="Arial"/>
                <w:i/>
                <w:iCs/>
                <w:sz w:val="22"/>
                <w:szCs w:val="22"/>
              </w:rPr>
              <w:t xml:space="preserve">“We envision a future where profit is intertwined with purpose, and where social impact isn’t the exception, but the norm. That’s the new blueprint for business success.”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CLIFF OBRECHT, CANVA CO-FOUNDER</w:t>
            </w:r>
          </w:p>
          <w:p>
            <w:pPr>
              <w:spacing w:line="300"/>
            </w:pPr>
            <w:r>
              <w:rPr>
                <w:rFonts w:ascii="Arial" w:cs="Arial" w:eastAsia="Arial" w:hAnsi="Arial"/>
                <w:i/>
                <w:iCs/>
                <w:sz w:val="22"/>
                <w:szCs w:val="22"/>
              </w:rPr>
              <w:t xml:space="preserve">“You don’t have to wait to be successful to start giving — you can build it into your organisation from day one.”</w:t>
            </w:r>
          </w:p>
        </w:tc>
      </w:tr>
    </w:tbl>
    <w:p>
      <w:pPr>
        <w:pStyle w:val="Heading3"/>
      </w:pPr>
      <w:r>
        <w:t xml:space="preserve">3.1.1 Enforcement: What Happens if Companies Refuse or Renege</w:t>
      </w:r>
    </w:p>
    <w:p>
      <w:pPr>
        <w:spacing w:after="200" w:line="320"/>
      </w:pPr>
      <w:r>
        <w:rPr>
          <w:rFonts w:ascii="Arial" w:cs="Arial" w:eastAsia="Arial" w:hAnsi="Arial"/>
          <w:sz w:val="22"/>
          <w:szCs w:val="22"/>
        </w:rPr>
        <w:t xml:space="preserve">The Pledge 1% model is voluntary. The ARK Foundation requires a materially stronger commitment structure because of the scale of capital involved (equity stakes, not cash donations) and the long-term nature of the commitment (endowments held in perpetuity). Three mechanisms create this stronger structure.</w:t>
      </w:r>
    </w:p>
    <w:p>
      <w:pPr>
        <w:spacing w:after="200" w:line="320"/>
      </w:pPr>
      <w:r>
        <w:rPr>
          <w:rFonts w:ascii="Arial" w:cs="Arial" w:eastAsia="Arial" w:hAnsi="Arial"/>
          <w:sz w:val="22"/>
          <w:szCs w:val="22"/>
        </w:rPr>
        <w:t xml:space="preserve">First, legal binding: the ARK Pledge is structured as a Deed of Equity Gift — a legally enforceable instrument under the donor’s jurisdiction. Once executed, revocation triggers the same legal consequences as breach of any charitable gift commitment. The ARK Foundation maintains a dedicated legal fund for enforcement of executed deeds. Second, public registry: all pledges are publicly registered. Any company that reneges does so publicly, with immediate consequences in the ESG scoring frameworks used by institutional investors. Third, market pressure: companies that have pledged distinguish themselves in the talent market, creating competitive pressure on non-participants. The Pledge 1% model confirms this mechanism works — the 20,000-company roster creates an in-group that non-participants are visibly absent from.</w:t>
      </w:r>
    </w:p>
    <w:p>
      <w:pPr>
        <w:spacing w:after="200" w:line="320"/>
      </w:pPr>
      <w:r>
        <w:rPr>
          <w:rFonts w:ascii="Arial" w:cs="Arial" w:eastAsia="Arial" w:hAnsi="Arial"/>
          <w:sz w:val="22"/>
          <w:szCs w:val="22"/>
        </w:rPr>
        <w:t xml:space="preserve">What about companies that decline to pledge entirely? The ARK Foundation cannot compel unwilling companies, and attempting to do so through legislation would create the government interference the model is designed to avoid. The strategy is to make pledging the path of least resistance through peer pressure from early adopters, ESG scoring consequences for non-participation, and talent market dynamics. The Pledge 1% experience confirms this approach is viable: it grew from three founding companies to 20,000 across 130 countries with no enforcement mechanism beyond reputational accountability.</w:t>
      </w:r>
    </w:p>
    <w:p>
      <w:pPr>
        <w:pStyle w:val="Heading3"/>
      </w:pPr>
      <w:r>
        <w:t xml:space="preserve">3.1.2 Legal Enforceability: Jurisdiction-Specific Notes</w:t>
      </w:r>
    </w:p>
    <w:p>
      <w:pPr>
        <w:spacing w:after="200" w:line="320"/>
      </w:pPr>
      <w:r>
        <w:rPr>
          <w:rFonts w:ascii="Arial" w:cs="Arial" w:eastAsia="Arial" w:hAnsi="Arial"/>
          <w:sz w:val="22"/>
          <w:szCs w:val="22"/>
        </w:rPr>
        <w:t xml:space="preserve">A Deed of Equity Gift is a legally recognised instrument in all major common law jurisdictions. In the United Kingdom, charitable gift deeds are enforceable under the Charities Act 2011 and the Law of Property Act 1925; once executed, they cannot be revoked without triggering breach of contract proceedings. In the United States, charitable pledge enforceability varies by state: New York, California, and Delaware — the three jurisdictions where the majority of technology company headquarters are registered — all recognise irrevocable charitable pledges under promissory estoppel doctrine, provided the charitable organisation has demonstrably relied on the pledge. In India, charitable gift deeds are recognised under the Transfer of Property Act 1882 and the Foreign Contribution (Regulation) Act 2010 for cross-border transfers.</w:t>
      </w:r>
    </w:p>
    <w:p>
      <w:pPr>
        <w:spacing w:after="200" w:line="320"/>
      </w:pPr>
      <w:r>
        <w:rPr>
          <w:rFonts w:ascii="Arial" w:cs="Arial" w:eastAsia="Arial" w:hAnsi="Arial"/>
          <w:sz w:val="22"/>
          <w:szCs w:val="22"/>
        </w:rPr>
        <w:t xml:space="preserve">The ARK Foundation’s legal template is modelled on the structure used by the Gates Foundation and the Chan Zuckerberg Initiative for large-scale irrevocable charitable commitments — both of which have executed legally binding equity transfer instruments across multiple jurisdictions without requiring government enforcement. Legal precedent for enforceability therefore exists and is well-tested at the scale the ARK model requires. The ARK Foundation’s first task in each pilot jurisdiction is to retain local charity law counsel to adapt the template deed to that jurisdiction’s specific requirements before the first equity transfer is executed.</w:t>
      </w:r>
    </w:p>
    <w:p>
      <w:pPr>
        <w:pStyle w:val="Heading2"/>
      </w:pPr>
      <w:r>
        <w:t xml:space="preserve">3.2 The Cisco Model: Catalytic Private Funding</w:t>
      </w:r>
    </w:p>
    <w:p>
      <w:pPr>
        <w:spacing w:after="200" w:line="320"/>
      </w:pPr>
      <w:r>
        <w:rPr>
          <w:rFonts w:ascii="Arial" w:cs="Arial" w:eastAsia="Arial" w:hAnsi="Arial"/>
          <w:sz w:val="22"/>
          <w:szCs w:val="22"/>
        </w:rPr>
        <w:t xml:space="preserve">Cisco’s US$130+ million housing commitment provides the most directly relevant documented precedent for the ARK leverage model. The following outcomes are drawn from Destination: Home’s independently verified 6-Year Impact Report (2025):</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5500"/>
      </w:tblGrid>
      <w:tr>
        <w:trPr>
          <w:tblHeader/>
        </w:trPr>
        <w:tc>
          <w:tcPr>
            <w:tcW w:type="dxa" w:w="3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Investment Area</w:t>
            </w:r>
          </w:p>
        </w:tc>
        <w:tc>
          <w:tcPr>
            <w:tcW w:type="dxa" w:w="5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Impact</w:t>
            </w:r>
          </w:p>
        </w:tc>
      </w:tr>
      <w:tr>
        <w:tc>
          <w:tcPr>
            <w:tcW w:type="dxa" w:w="3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Supportive Housing Acceleration</w:t>
            </w:r>
          </w:p>
        </w:tc>
        <w:tc>
          <w:tcPr>
            <w:tcW w:type="dxa" w:w="5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Flexible private funding leveraged over US$1.5 billion of other funding; supported development of 3,380+ new homes across 35 developments in Santa Clara County</w:t>
            </w:r>
          </w:p>
        </w:tc>
      </w:tr>
      <w:tr>
        <w:tc>
          <w:tcPr>
            <w:tcW w:type="dxa" w:w="3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Homelessness Prevention</w:t>
            </w:r>
          </w:p>
        </w:tc>
        <w:tc>
          <w:tcPr>
            <w:tcW w:type="dxa" w:w="5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Piloted and scaled county-wide program; helped nearly 44,000 people avoid homelessness; 90% of recipients remained housed after two years</w:t>
            </w:r>
          </w:p>
        </w:tc>
      </w:tr>
      <w:tr>
        <w:tc>
          <w:tcPr>
            <w:tcW w:type="dxa" w:w="3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Technology Optimization</w:t>
            </w:r>
          </w:p>
        </w:tc>
        <w:tc>
          <w:tcPr>
            <w:tcW w:type="dxa" w:w="5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Created MyConnectSV client portal; installed in-home Wi-Fi at supportive housing sites; launched TECHquity Fund for nonprofit technology needs</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JENNIFER LOVING, CEO OF DESTINATION: HOME</w:t>
            </w:r>
          </w:p>
          <w:p>
            <w:pPr>
              <w:spacing w:line="300"/>
            </w:pPr>
            <w:r>
              <w:rPr>
                <w:rFonts w:ascii="Arial" w:cs="Arial" w:eastAsia="Arial" w:hAnsi="Arial"/>
                <w:i/>
                <w:iCs/>
                <w:sz w:val="22"/>
                <w:szCs w:val="22"/>
              </w:rPr>
              <w:t xml:space="preserve">“Cisco has demonstrated how a corporation can leverage both its financial and human resources to have a truly catalytic impact. Private sector leadership is critical, and Cisco’s transformational partnership has allowed us to move from scarcity to abundance, an exceedingly rare perspective when it comes to homelessness.”</w:t>
            </w:r>
          </w:p>
        </w:tc>
      </w:tr>
    </w:tbl>
    <w:p>
      <w:pPr>
        <w:pStyle w:val="Heading2"/>
      </w:pPr>
      <w:r>
        <w:t xml:space="preserve">3.3 The Equity-to-Shelter Model</w:t>
      </w:r>
    </w:p>
    <w:p>
      <w:pPr>
        <w:spacing w:after="200" w:line="320"/>
      </w:pPr>
      <w:r>
        <w:rPr>
          <w:rFonts w:ascii="Arial" w:cs="Arial" w:eastAsia="Arial" w:hAnsi="Arial"/>
          <w:sz w:val="22"/>
          <w:szCs w:val="22"/>
        </w:rPr>
        <w:t xml:space="preserve">Unlike traditional charity that writes checks which evaporate, this model uses equity as a long-term endowment.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000"/>
      </w:tblGrid>
      <w:tr>
        <w:trPr>
          <w:tblHeader/>
        </w:trPr>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Component</w:t>
            </w:r>
          </w:p>
        </w:tc>
        <w:tc>
          <w:tcPr>
            <w:tcW w:type="dxa" w:w="6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Description</w:t>
            </w:r>
          </w:p>
        </w:tc>
      </w:tr>
      <w:tr>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Equity Pledge</w:t>
            </w:r>
          </w:p>
        </w:tc>
        <w:tc>
          <w:tcPr>
            <w:tcW w:type="dxa" w:w="6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Company commits 1% of issued shares annually via legally binding Deed of Equity Gift</w:t>
            </w:r>
          </w:p>
        </w:tc>
      </w:tr>
      <w:tr>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NGO Gateway</w:t>
            </w:r>
          </w:p>
        </w:tc>
        <w:tc>
          <w:tcPr>
            <w:tcW w:type="dxa" w:w="6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Single pre-vetted NGO per country receives the equity</w:t>
            </w:r>
          </w:p>
        </w:tc>
      </w:tr>
      <w:tr>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Asset Holding</w:t>
            </w:r>
          </w:p>
        </w:tc>
        <w:tc>
          <w:tcPr>
            <w:tcW w:type="dxa" w:w="6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NGO holds equity as endowment — never sells the core holding</w:t>
            </w:r>
          </w:p>
        </w:tc>
      </w:tr>
      <w:tr>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Collateralization</w:t>
            </w:r>
          </w:p>
        </w:tc>
        <w:tc>
          <w:tcPr>
            <w:tcW w:type="dxa" w:w="6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Blue-chip stock used as collateral for low-interest “Social Impact Loans”</w:t>
            </w:r>
          </w:p>
        </w:tc>
      </w:tr>
      <w:tr>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Dividend Stream</w:t>
            </w:r>
          </w:p>
        </w:tc>
        <w:tc>
          <w:tcPr>
            <w:tcW w:type="dxa" w:w="6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Dividends fund ongoing community maintenance</w:t>
            </w:r>
          </w:p>
        </w:tc>
      </w:tr>
      <w:tr>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Loan Repayment</w:t>
            </w:r>
          </w:p>
        </w:tc>
        <w:tc>
          <w:tcPr>
            <w:tcW w:type="dxa" w:w="6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Resident micro-fees (as low as US$20/month) repay principal</w:t>
            </w:r>
          </w:p>
        </w:tc>
      </w:tr>
      <w:tr>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Reinvestment</w:t>
            </w:r>
          </w:p>
        </w:tc>
        <w:tc>
          <w:tcPr>
            <w:tcW w:type="dxa" w:w="6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Appreciating equity funds the next community — a self-sustaining cycle</w:t>
            </w:r>
          </w:p>
        </w:tc>
      </w:tr>
    </w:tbl>
    <w:p>
      <w:pPr>
        <w:spacing w:after="100"/>
      </w:pPr>
      <w:r>
        <w:t xml:space="preserve"/>
      </w:r>
    </w:p>
    <w:p>
      <w:pPr>
        <w:pStyle w:val="Heading2"/>
      </w:pPr>
      <w:r>
        <w:t xml:space="preserve">3.4 Why Equity, Not Cash?</w:t>
      </w:r>
    </w:p>
    <w:p>
      <w:pPr>
        <w:spacing w:after="200" w:line="320"/>
      </w:pPr>
      <w:r>
        <w:rPr>
          <w:rFonts w:ascii="Arial" w:cs="Arial" w:eastAsia="Arial" w:hAnsi="Arial"/>
          <w:sz w:val="22"/>
          <w:szCs w:val="22"/>
        </w:rPr>
        <w:t xml:space="preserve">Equity is preferable to cash for several reasons:</w:t>
      </w:r>
    </w:p>
    <w:p>
      <w:pPr>
        <w:pStyle w:val="ListParagraph"/>
        <w:numPr>
          <w:ilvl w:val="0"/>
          <w:numId w:val="2"/>
        </w:numPr>
        <w:spacing w:after="120" w:line="300"/>
      </w:pPr>
      <w:r>
        <w:rPr>
          <w:rFonts w:ascii="Arial" w:cs="Arial" w:eastAsia="Arial" w:hAnsi="Arial"/>
          <w:sz w:val="22"/>
          <w:szCs w:val="22"/>
        </w:rPr>
        <w:t xml:space="preserve">Scale: Equity represents a share of the company’s future value, which can grow far beyond any cash donation.</w:t>
      </w:r>
    </w:p>
    <w:p>
      <w:pPr>
        <w:pStyle w:val="ListParagraph"/>
        <w:numPr>
          <w:ilvl w:val="0"/>
          <w:numId w:val="2"/>
        </w:numPr>
        <w:spacing w:after="120" w:line="300"/>
      </w:pPr>
      <w:r>
        <w:rPr>
          <w:rFonts w:ascii="Arial" w:cs="Arial" w:eastAsia="Arial" w:hAnsi="Arial"/>
          <w:sz w:val="22"/>
          <w:szCs w:val="22"/>
        </w:rPr>
        <w:t xml:space="preserve">Sustainability: Equity provides ongoing dividends, creating a perpetual revenue stream.</w:t>
      </w:r>
    </w:p>
    <w:p>
      <w:pPr>
        <w:pStyle w:val="ListParagraph"/>
        <w:numPr>
          <w:ilvl w:val="0"/>
          <w:numId w:val="2"/>
        </w:numPr>
        <w:spacing w:after="120" w:line="300"/>
      </w:pPr>
      <w:r>
        <w:rPr>
          <w:rFonts w:ascii="Arial" w:cs="Arial" w:eastAsia="Arial" w:hAnsi="Arial"/>
          <w:sz w:val="22"/>
          <w:szCs w:val="22"/>
        </w:rPr>
        <w:t xml:space="preserve">Alignment: Equity aligns the interests of the company and the community — when the company succeeds, the community benefits.</w:t>
      </w:r>
    </w:p>
    <w:p>
      <w:pPr>
        <w:pStyle w:val="ListParagraph"/>
        <w:numPr>
          <w:ilvl w:val="0"/>
          <w:numId w:val="2"/>
        </w:numPr>
        <w:spacing w:after="120" w:line="300"/>
      </w:pPr>
      <w:r>
        <w:rPr>
          <w:rFonts w:ascii="Arial" w:cs="Arial" w:eastAsia="Arial" w:hAnsi="Arial"/>
          <w:sz w:val="22"/>
          <w:szCs w:val="22"/>
        </w:rPr>
        <w:t xml:space="preserve">Leverage: Blue-chip equity can be used as collateral for loans, multiplying the impact.</w:t>
      </w:r>
    </w:p>
    <w:p>
      <w:pPr>
        <w:pStyle w:val="ListParagraph"/>
        <w:numPr>
          <w:ilvl w:val="0"/>
          <w:numId w:val="2"/>
        </w:numPr>
        <w:spacing w:after="120" w:line="300"/>
      </w:pPr>
      <w:r>
        <w:rPr>
          <w:rFonts w:ascii="Arial" w:cs="Arial" w:eastAsia="Arial" w:hAnsi="Arial"/>
          <w:sz w:val="22"/>
          <w:szCs w:val="22"/>
        </w:rPr>
        <w:t xml:space="preserve">Regulatory Advantage: In many jurisdictions, equity transfers to registered charities receive favorable tax treatment.</w:t>
      </w:r>
    </w:p>
    <w:p>
      <w:pPr>
        <w:pStyle w:val="Heading2"/>
      </w:pPr>
      <w:r>
        <w:t xml:space="preserve">3.5 The Right at Home Initiative: Scaling Prevention</w:t>
      </w:r>
    </w:p>
    <w:p>
      <w:pPr>
        <w:spacing w:after="200" w:line="320"/>
      </w:pPr>
      <w:r>
        <w:rPr>
          <w:rFonts w:ascii="Arial" w:cs="Arial" w:eastAsia="Arial" w:hAnsi="Arial"/>
          <w:sz w:val="22"/>
          <w:szCs w:val="22"/>
        </w:rPr>
        <w:t xml:space="preserve">Destination: Home is launching the Right at Home initiative to make homelessness prevention a national strategy:</w:t>
      </w:r>
    </w:p>
    <w:p>
      <w:pPr>
        <w:pStyle w:val="ListParagraph"/>
        <w:numPr>
          <w:ilvl w:val="0"/>
          <w:numId w:val="2"/>
        </w:numPr>
        <w:spacing w:after="120" w:line="300"/>
      </w:pPr>
      <w:r>
        <w:rPr>
          <w:rFonts w:ascii="Arial" w:cs="Arial" w:eastAsia="Arial" w:hAnsi="Arial"/>
          <w:sz w:val="22"/>
          <w:szCs w:val="22"/>
        </w:rPr>
        <w:t xml:space="preserve">US$77 million raised so far</w:t>
      </w:r>
    </w:p>
    <w:p>
      <w:pPr>
        <w:pStyle w:val="ListParagraph"/>
        <w:numPr>
          <w:ilvl w:val="0"/>
          <w:numId w:val="2"/>
        </w:numPr>
        <w:spacing w:after="120" w:line="300"/>
      </w:pPr>
      <w:r>
        <w:rPr>
          <w:rFonts w:ascii="Arial" w:cs="Arial" w:eastAsia="Arial" w:hAnsi="Arial"/>
          <w:sz w:val="22"/>
          <w:szCs w:val="22"/>
        </w:rPr>
        <w:t xml:space="preserve">Partnering with 10 organizations across the US (Minnesota, Alaska, Atlanta, Asheville, tribal communities)</w:t>
      </w:r>
    </w:p>
    <w:p>
      <w:pPr>
        <w:pStyle w:val="ListParagraph"/>
        <w:numPr>
          <w:ilvl w:val="0"/>
          <w:numId w:val="2"/>
        </w:numPr>
        <w:spacing w:after="120" w:line="300"/>
      </w:pPr>
      <w:r>
        <w:rPr>
          <w:rFonts w:ascii="Arial" w:cs="Arial" w:eastAsia="Arial" w:hAnsi="Arial"/>
          <w:sz w:val="22"/>
          <w:szCs w:val="22"/>
        </w:rPr>
        <w:t xml:space="preserve">US$5 million+ to each community to serve 1,500 households over five years</w:t>
      </w:r>
    </w:p>
    <w:p>
      <w:pPr>
        <w:pStyle w:val="ListParagraph"/>
        <w:numPr>
          <w:ilvl w:val="0"/>
          <w:numId w:val="2"/>
        </w:numPr>
        <w:spacing w:after="120" w:line="300"/>
      </w:pPr>
      <w:r>
        <w:rPr>
          <w:rFonts w:ascii="Arial" w:cs="Arial" w:eastAsia="Arial" w:hAnsi="Arial"/>
          <w:sz w:val="22"/>
          <w:szCs w:val="22"/>
        </w:rPr>
        <w:t xml:space="preserve">Data collection by the University of Notre Dame’s Lab for Economic Opportunities</w:t>
      </w:r>
    </w:p>
    <w:p>
      <w:pPr>
        <w:pStyle w:val="ListParagraph"/>
        <w:numPr>
          <w:ilvl w:val="0"/>
          <w:numId w:val="2"/>
        </w:numPr>
        <w:spacing w:after="120" w:line="300"/>
      </w:pPr>
      <w:r>
        <w:rPr>
          <w:rFonts w:ascii="Arial" w:cs="Arial" w:eastAsia="Arial" w:hAnsi="Arial"/>
          <w:sz w:val="22"/>
          <w:szCs w:val="22"/>
        </w:rPr>
        <w:t xml:space="preserve">Funding from Cisco, Sobrato Philanthropies, Valhalla Foundation, The Audacious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DAVID PHILLIPS, DIRECTOR OF RESEARCH, LAB FOR ECONOMIC OPPORTUNITIES</w:t>
            </w:r>
          </w:p>
          <w:p>
            <w:pPr>
              <w:spacing w:line="300"/>
            </w:pPr>
            <w:r>
              <w:rPr>
                <w:rFonts w:ascii="Arial" w:cs="Arial" w:eastAsia="Arial" w:hAnsi="Arial"/>
                <w:i/>
                <w:iCs/>
                <w:sz w:val="22"/>
                <w:szCs w:val="22"/>
              </w:rPr>
              <w:t xml:space="preserve">“We know there are a very large number of families where affordability is an issue. When folks become evicted, there are a lot of negative effects. The big piece of the goal is to get ahead of the problem.”</w:t>
            </w:r>
          </w:p>
        </w:tc>
      </w:tr>
    </w:tbl>
    <w:p>
      <w:pPr>
        <w:spacing w:after="200"/>
      </w:pPr>
      <w:r>
        <w:t xml:space="preserve"/>
      </w:r>
    </w:p>
    <w:p>
      <w:pPr>
        <w:pStyle w:val="Heading1"/>
      </w:pPr>
      <w:r>
        <w:t xml:space="preserve">4. The Mega-Community Model</w:t>
      </w:r>
    </w:p>
    <w:p>
      <w:pPr>
        <w:pStyle w:val="Heading2"/>
      </w:pPr>
      <w:r>
        <w:t xml:space="preserve">4.1 The Scale Pyramid</w:t>
      </w:r>
    </w:p>
    <w:p>
      <w:pPr>
        <w:spacing w:after="200" w:line="320"/>
      </w:pPr>
      <w:r>
        <w:rPr>
          <w:rFonts w:ascii="Arial" w:cs="Arial" w:eastAsia="Arial" w:hAnsi="Arial"/>
          <w:sz w:val="22"/>
          <w:szCs w:val="22"/>
        </w:rPr>
        <w:t xml:space="preserve">Building 100 single-family homes is inefficient. Building Mega-Communities for 20,000 residents reduces per-capita construction costs by 40–60% due to bulk purchasing, shared infrastructure (water purification, solar grids), and centralized management.</w:t>
      </w:r>
    </w:p>
    <w:p>
      <w:pPr>
        <w:spacing w:after="200" w:line="320"/>
      </w:pPr>
      <w:r>
        <w:rPr>
          <w:rFonts w:ascii="Arial" w:cs="Arial" w:eastAsia="Arial" w:hAnsi="Arial"/>
          <w:sz w:val="22"/>
          <w:szCs w:val="22"/>
        </w:rPr>
        <w:t xml:space="preserve">Important caveat on costs: these estimates reflect construction costs in lower-income contexts. In developed economies, construction costs are typically 3–5 times higher due to labour, materials, and regulatory compliance. The ARK model is therefore most immediately viable in South Asia, Sub-Saharan Africa, and Southeast Asia where cost efficiencies are achievable. High-income country deployments require separate cost modelling.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2800"/>
        <w:gridCol w:w="2500"/>
        <w:gridCol w:w="2200"/>
      </w:tblGrid>
      <w:tr>
        <w:trPr>
          <w:tblHeader/>
        </w:trPr>
        <w:tc>
          <w:tcPr>
            <w:tcW w:type="dxa" w:w="1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Tier</w:t>
            </w:r>
          </w:p>
        </w:tc>
        <w:tc>
          <w:tcPr>
            <w:tcW w:type="dxa" w:w="28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Population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Best For</w:t>
            </w:r>
          </w:p>
        </w:tc>
        <w:tc>
          <w:tcPr>
            <w:tcW w:type="dxa" w:w="22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Cost Per Capita (Emerging Markets)</w:t>
            </w:r>
          </w:p>
        </w:tc>
      </w:tr>
      <w:tr>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Tier 1</w:t>
            </w:r>
          </w:p>
        </w:tc>
        <w:tc>
          <w:tcPr>
            <w:tcW w:type="dxa" w:w="2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1,000–2,000</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European nations with strict planning laws</w:t>
            </w:r>
          </w:p>
        </w:tc>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~US$18,000 (developed: US$60,000+)</w:t>
            </w:r>
          </w:p>
        </w:tc>
      </w:tr>
      <w:tr>
        <w:tc>
          <w:tcPr>
            <w:tcW w:type="dxa" w:w="1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Tier 2</w:t>
            </w:r>
          </w:p>
        </w:tc>
        <w:tc>
          <w:tcPr>
            <w:tcW w:type="dxa" w:w="2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2,000–5,000</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USA/UK suburban transit-villages</w:t>
            </w:r>
          </w:p>
        </w:tc>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~US$14,000 (developed: US$50,000+)</w:t>
            </w:r>
          </w:p>
        </w:tc>
      </w:tr>
      <w:tr>
        <w:tc>
          <w:tcPr>
            <w:tcW w:type="dxa" w:w="1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Tier 3</w:t>
            </w:r>
          </w:p>
        </w:tc>
        <w:tc>
          <w:tcPr>
            <w:tcW w:type="dxa" w:w="28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5,000–10,000</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India, SE Asia satellite cities</w:t>
            </w:r>
          </w:p>
        </w:tc>
        <w:tc>
          <w:tcPr>
            <w:tcW w:type="dxa" w:w="22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~US$10,000</w:t>
            </w:r>
          </w:p>
        </w:tc>
      </w:tr>
      <w:tr>
        <w:tc>
          <w:tcPr>
            <w:tcW w:type="dxa" w:w="1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Tier 4</w:t>
            </w:r>
          </w:p>
        </w:tc>
        <w:tc>
          <w:tcPr>
            <w:tcW w:type="dxa" w:w="28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10,000–20,000</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Mega-cities, climate-displacement zones</w:t>
            </w:r>
          </w:p>
        </w:tc>
        <w:tc>
          <w:tcPr>
            <w:tcW w:type="dxa" w:w="22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~US$9,000</w:t>
            </w:r>
          </w:p>
        </w:tc>
      </w:tr>
    </w:tbl>
    <w:p>
      <w:pPr>
        <w:spacing w:after="100"/>
      </w:pPr>
      <w:r>
        <w:t xml:space="preserve"/>
      </w:r>
    </w:p>
    <w:p>
      <w:pPr>
        <w:spacing w:after="200" w:line="320"/>
      </w:pPr>
      <w:r>
        <w:rPr>
          <w:rFonts w:ascii="Arial" w:cs="Arial" w:eastAsia="Arial" w:hAnsi="Arial"/>
          <w:sz w:val="22"/>
          <w:szCs w:val="22"/>
        </w:rPr>
        <w:t xml:space="preserve">Why 20,000 is the Magic Number:</w:t>
      </w:r>
    </w:p>
    <w:p>
      <w:pPr>
        <w:pStyle w:val="ListParagraph"/>
        <w:numPr>
          <w:ilvl w:val="0"/>
          <w:numId w:val="2"/>
        </w:numPr>
        <w:spacing w:after="120" w:line="300"/>
      </w:pPr>
      <w:r>
        <w:rPr>
          <w:rFonts w:ascii="Arial" w:cs="Arial" w:eastAsia="Arial" w:hAnsi="Arial"/>
          <w:sz w:val="22"/>
          <w:szCs w:val="22"/>
        </w:rPr>
        <w:t xml:space="preserve">One central water recycling plant serves optimally</w:t>
      </w:r>
    </w:p>
    <w:p>
      <w:pPr>
        <w:pStyle w:val="ListParagraph"/>
        <w:numPr>
          <w:ilvl w:val="0"/>
          <w:numId w:val="2"/>
        </w:numPr>
        <w:spacing w:after="120" w:line="300"/>
      </w:pPr>
      <w:r>
        <w:rPr>
          <w:rFonts w:ascii="Arial" w:cs="Arial" w:eastAsia="Arial" w:hAnsi="Arial"/>
          <w:sz w:val="22"/>
          <w:szCs w:val="22"/>
        </w:rPr>
        <w:t xml:space="preserve">One medical clinic, K-12 school, vocational training center maximize utility</w:t>
      </w:r>
    </w:p>
    <w:p>
      <w:pPr>
        <w:pStyle w:val="ListParagraph"/>
        <w:numPr>
          <w:ilvl w:val="0"/>
          <w:numId w:val="2"/>
        </w:numPr>
        <w:spacing w:after="120" w:line="300"/>
      </w:pPr>
      <w:r>
        <w:rPr>
          <w:rFonts w:ascii="Arial" w:cs="Arial" w:eastAsia="Arial" w:hAnsi="Arial"/>
          <w:sz w:val="22"/>
          <w:szCs w:val="22"/>
        </w:rPr>
        <w:t xml:space="preserve">Design breaks into 4 ‘Villages’ of 5,000 each for community cohesion</w:t>
      </w:r>
    </w:p>
    <w:p>
      <w:pPr>
        <w:pStyle w:val="ListParagraph"/>
        <w:numPr>
          <w:ilvl w:val="0"/>
          <w:numId w:val="2"/>
        </w:numPr>
        <w:spacing w:after="120" w:line="300"/>
      </w:pPr>
      <w:r>
        <w:rPr>
          <w:rFonts w:ascii="Arial" w:cs="Arial" w:eastAsia="Arial" w:hAnsi="Arial"/>
          <w:sz w:val="22"/>
          <w:szCs w:val="22"/>
        </w:rPr>
        <w:t xml:space="preserve">Economies of scale in construction, maintenance, and administration</w:t>
      </w:r>
    </w:p>
    <w:p>
      <w:pPr>
        <w:pStyle w:val="Heading2"/>
      </w:pPr>
      <w:r>
        <w:t xml:space="preserve">4.2 The “Dignity Village” Layout</w:t>
      </w:r>
    </w:p>
    <w:p>
      <w:pPr>
        <w:spacing w:after="200" w:line="320"/>
      </w:pPr>
      <w:r>
        <w:rPr>
          <w:rFonts w:ascii="Arial" w:cs="Arial" w:eastAsia="Arial" w:hAnsi="Arial"/>
          <w:b/>
          <w:bCs/>
          <w:sz w:val="22"/>
          <w:szCs w:val="22"/>
        </w:rPr>
        <w:t xml:space="preserve">Vertical Model (Urban):</w:t>
      </w:r>
    </w:p>
    <w:p>
      <w:pPr>
        <w:pStyle w:val="ListParagraph"/>
        <w:numPr>
          <w:ilvl w:val="0"/>
          <w:numId w:val="2"/>
        </w:numPr>
        <w:spacing w:after="120" w:line="300"/>
      </w:pPr>
      <w:r>
        <w:rPr>
          <w:rFonts w:ascii="Arial" w:cs="Arial" w:eastAsia="Arial" w:hAnsi="Arial"/>
          <w:sz w:val="22"/>
          <w:szCs w:val="22"/>
        </w:rPr>
        <w:t xml:space="preserve">Ground Floor: Micro-manufacturing (garment stitching, electronics recycling), commercial rent-generating spaces</w:t>
      </w:r>
    </w:p>
    <w:p>
      <w:pPr>
        <w:pStyle w:val="ListParagraph"/>
        <w:numPr>
          <w:ilvl w:val="0"/>
          <w:numId w:val="2"/>
        </w:numPr>
        <w:spacing w:after="120" w:line="300"/>
      </w:pPr>
      <w:r>
        <w:rPr>
          <w:rFonts w:ascii="Arial" w:cs="Arial" w:eastAsia="Arial" w:hAnsi="Arial"/>
          <w:sz w:val="22"/>
          <w:szCs w:val="22"/>
        </w:rPr>
        <w:t xml:space="preserve">Floors 2–10: Residential micro-apartments (150–200 sq. ft per person)</w:t>
      </w:r>
    </w:p>
    <w:p>
      <w:pPr>
        <w:pStyle w:val="ListParagraph"/>
        <w:numPr>
          <w:ilvl w:val="0"/>
          <w:numId w:val="2"/>
        </w:numPr>
        <w:spacing w:after="120" w:line="300"/>
      </w:pPr>
      <w:r>
        <w:rPr>
          <w:rFonts w:ascii="Arial" w:cs="Arial" w:eastAsia="Arial" w:hAnsi="Arial"/>
          <w:sz w:val="22"/>
          <w:szCs w:val="22"/>
        </w:rPr>
        <w:t xml:space="preserve">Rooftop: Urban farming, solar arrays</w:t>
      </w:r>
    </w:p>
    <w:p>
      <w:pPr>
        <w:pStyle w:val="ListParagraph"/>
        <w:numPr>
          <w:ilvl w:val="0"/>
          <w:numId w:val="2"/>
        </w:numPr>
        <w:spacing w:after="120" w:line="300"/>
      </w:pPr>
      <w:r>
        <w:rPr>
          <w:rFonts w:ascii="Arial" w:cs="Arial" w:eastAsia="Arial" w:hAnsi="Arial"/>
          <w:sz w:val="22"/>
          <w:szCs w:val="22"/>
        </w:rPr>
        <w:t xml:space="preserve">The ‘Village’ Divide: 20,000-person building split into 4 ‘Clusters’ of 5,000, each with communal kitchen, nursery, meeting spaces</w:t>
      </w:r>
    </w:p>
    <w:p>
      <w:pPr>
        <w:spacing w:after="200" w:line="320"/>
      </w:pPr>
      <w:r>
        <w:rPr>
          <w:rFonts w:ascii="Arial" w:cs="Arial" w:eastAsia="Arial" w:hAnsi="Arial"/>
          <w:b/>
          <w:bCs/>
          <w:sz w:val="22"/>
          <w:szCs w:val="22"/>
        </w:rPr>
        <w:t xml:space="preserve">Horizontal Model (Rural/Peri-Urban):</w:t>
      </w:r>
    </w:p>
    <w:p>
      <w:pPr>
        <w:pStyle w:val="ListParagraph"/>
        <w:numPr>
          <w:ilvl w:val="0"/>
          <w:numId w:val="2"/>
        </w:numPr>
        <w:spacing w:after="120" w:line="300"/>
      </w:pPr>
      <w:r>
        <w:rPr>
          <w:rFonts w:ascii="Arial" w:cs="Arial" w:eastAsia="Arial" w:hAnsi="Arial"/>
          <w:sz w:val="22"/>
          <w:szCs w:val="22"/>
        </w:rPr>
        <w:t xml:space="preserve">Low-rise, high-density township design</w:t>
      </w:r>
    </w:p>
    <w:p>
      <w:pPr>
        <w:pStyle w:val="ListParagraph"/>
        <w:numPr>
          <w:ilvl w:val="0"/>
          <w:numId w:val="2"/>
        </w:numPr>
        <w:spacing w:after="120" w:line="300"/>
      </w:pPr>
      <w:r>
        <w:rPr>
          <w:rFonts w:ascii="Arial" w:cs="Arial" w:eastAsia="Arial" w:hAnsi="Arial"/>
          <w:sz w:val="22"/>
          <w:szCs w:val="22"/>
        </w:rPr>
        <w:t xml:space="preserve">Green spaces between clusters</w:t>
      </w:r>
    </w:p>
    <w:p>
      <w:pPr>
        <w:pStyle w:val="ListParagraph"/>
        <w:numPr>
          <w:ilvl w:val="0"/>
          <w:numId w:val="2"/>
        </w:numPr>
        <w:spacing w:after="120" w:line="300"/>
      </w:pPr>
      <w:r>
        <w:rPr>
          <w:rFonts w:ascii="Arial" w:cs="Arial" w:eastAsia="Arial" w:hAnsi="Arial"/>
          <w:sz w:val="22"/>
          <w:szCs w:val="22"/>
        </w:rPr>
        <w:t xml:space="preserve">On-site agriculture and water harvesting</w:t>
      </w:r>
    </w:p>
    <w:p>
      <w:pPr>
        <w:pStyle w:val="ListParagraph"/>
        <w:numPr>
          <w:ilvl w:val="0"/>
          <w:numId w:val="2"/>
        </w:numPr>
        <w:spacing w:after="120" w:line="300"/>
      </w:pPr>
      <w:r>
        <w:rPr>
          <w:rFonts w:ascii="Arial" w:cs="Arial" w:eastAsia="Arial" w:hAnsi="Arial"/>
          <w:sz w:val="22"/>
          <w:szCs w:val="22"/>
        </w:rPr>
        <w:t xml:space="preserve">Climate-resilient construction (elevated structures for flood-prone regions)</w:t>
      </w:r>
    </w:p>
    <w:p>
      <w:pPr>
        <w:pStyle w:val="Heading2"/>
      </w:pPr>
      <w:r>
        <w:t xml:space="preserve">4.3 The Delancey Street/Emmaus Model: Resident Self-Governance</w:t>
      </w:r>
    </w:p>
    <w:p>
      <w:pPr>
        <w:spacing w:after="200" w:line="320"/>
      </w:pPr>
      <w:r>
        <w:rPr>
          <w:rFonts w:ascii="Arial" w:cs="Arial" w:eastAsia="Arial" w:hAnsi="Arial"/>
          <w:sz w:val="22"/>
          <w:szCs w:val="22"/>
        </w:rPr>
        <w:t xml:space="preserve">Emmaus Communities (29 UK communities, plus presence in 37 countries globally) provide a proven blueprint. “Companions” (residents) live and work together in supportive communities. Onsite social enterprises provide meaningful work and skill development. 19% of companions successfully moved on externally; 14% gained employment. Focus on “positive approaches” — psychologically informed environments, trauma-informed care, and strength-based practices.</w:t>
      </w:r>
    </w:p>
    <w:p>
      <w:pPr>
        <w:pStyle w:val="ListParagraph"/>
        <w:numPr>
          <w:ilvl w:val="0"/>
          <w:numId w:val="2"/>
        </w:numPr>
        <w:spacing w:after="120" w:line="300"/>
      </w:pPr>
      <w:r>
        <w:rPr>
          <w:rFonts w:ascii="Arial" w:cs="Arial" w:eastAsia="Arial" w:hAnsi="Arial"/>
          <w:sz w:val="22"/>
          <w:szCs w:val="22"/>
        </w:rPr>
        <w:t xml:space="preserve">Companions work in social enterprises earning income and skills</w:t>
      </w:r>
    </w:p>
    <w:p>
      <w:pPr>
        <w:pStyle w:val="ListParagraph"/>
        <w:numPr>
          <w:ilvl w:val="0"/>
          <w:numId w:val="2"/>
        </w:numPr>
        <w:spacing w:after="120" w:line="300"/>
      </w:pPr>
      <w:r>
        <w:rPr>
          <w:rFonts w:ascii="Arial" w:cs="Arial" w:eastAsia="Arial" w:hAnsi="Arial"/>
          <w:sz w:val="22"/>
          <w:szCs w:val="22"/>
        </w:rPr>
        <w:t xml:space="preserve">19% of companions successfully moved on to external accommodation</w:t>
      </w:r>
    </w:p>
    <w:p>
      <w:pPr>
        <w:pStyle w:val="ListParagraph"/>
        <w:numPr>
          <w:ilvl w:val="0"/>
          <w:numId w:val="2"/>
        </w:numPr>
        <w:spacing w:after="120" w:line="300"/>
      </w:pPr>
      <w:r>
        <w:rPr>
          <w:rFonts w:ascii="Arial" w:cs="Arial" w:eastAsia="Arial" w:hAnsi="Arial"/>
          <w:sz w:val="22"/>
          <w:szCs w:val="22"/>
        </w:rPr>
        <w:t xml:space="preserve">14% gained employment in the open labor market</w:t>
      </w:r>
    </w:p>
    <w:p>
      <w:pPr>
        <w:pStyle w:val="ListParagraph"/>
        <w:numPr>
          <w:ilvl w:val="0"/>
          <w:numId w:val="2"/>
        </w:numPr>
        <w:spacing w:after="120" w:line="300"/>
      </w:pPr>
      <w:r>
        <w:rPr>
          <w:rFonts w:ascii="Arial" w:cs="Arial" w:eastAsia="Arial" w:hAnsi="Arial"/>
          <w:sz w:val="22"/>
          <w:szCs w:val="22"/>
        </w:rPr>
        <w:t xml:space="preserve">Focus on psychologically informed environments and trauma-informed care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EMMAUS OXFORD MOVE-ON HOUSES</w:t>
            </w:r>
          </w:p>
          <w:p>
            <w:pPr>
              <w:spacing w:line="300"/>
            </w:pPr>
            <w:r>
              <w:rPr>
                <w:rFonts w:ascii="Arial" w:cs="Arial" w:eastAsia="Arial" w:hAnsi="Arial"/>
                <w:i/>
                <w:iCs/>
                <w:sz w:val="22"/>
                <w:szCs w:val="22"/>
              </w:rPr>
              <w:t xml:space="preserve">“The move-on houses have been designed to bridge the gap between supported community living and fully independent housing. Companions living there will have secure and affordable tenancies, alongside continued support with budgeting, tenancy management and day-to-day living skills, helping to reduce the risk of homelessness recurring.”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0A2540"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0A2540"/>
                <w:spacing w:val="20"/>
                <w:sz w:val="18"/>
                <w:szCs w:val="18"/>
              </w:rPr>
              <w:t xml:space="preserve">EMMAUS NORFOLK WAVENEY WOMEN’S COMMUNITY HOUSE</w:t>
            </w:r>
          </w:p>
          <w:p>
            <w:pPr>
              <w:spacing w:line="300"/>
            </w:pPr>
            <w:r>
              <w:rPr>
                <w:rFonts w:ascii="Arial" w:cs="Arial" w:eastAsia="Arial" w:hAnsi="Arial"/>
                <w:i/>
                <w:iCs/>
                <w:sz w:val="22"/>
                <w:szCs w:val="22"/>
              </w:rPr>
              <w:t xml:space="preserve">“The women joining may have experienced sexual violence, domestic abuse and may have experienced homelessness... Women will gain new skills in micro social enterprises, including textiles, upcycling and blacksmithing... and receive 360-degree therapeutic support.”</w:t>
            </w:r>
          </w:p>
        </w:tc>
      </w:tr>
    </w:tbl>
    <w:p>
      <w:pPr>
        <w:pStyle w:val="Heading2"/>
      </w:pPr>
      <w:r>
        <w:t xml:space="preserve">4.4 Sustainable Design: Article 25 and Moladi</w:t>
      </w:r>
    </w:p>
    <w:p>
      <w:pPr>
        <w:spacing w:after="200" w:line="320"/>
      </w:pPr>
      <w:r>
        <w:rPr>
          <w:rFonts w:ascii="Arial" w:cs="Arial" w:eastAsia="Arial" w:hAnsi="Arial"/>
          <w:sz w:val="22"/>
          <w:szCs w:val="22"/>
        </w:rPr>
        <w:t xml:space="preserve">Article 25, the UK’s leading humanitarian architectural NGO, has completed over 100 projects across 35 countries, building schools, hospitals, and housing. Their projects demonstrate sustainable design at scale:</w:t>
      </w:r>
    </w:p>
    <w:p>
      <w:pPr>
        <w:pStyle w:val="ListParagraph"/>
        <w:numPr>
          <w:ilvl w:val="0"/>
          <w:numId w:val="2"/>
        </w:numPr>
        <w:spacing w:after="120" w:line="300"/>
      </w:pPr>
      <w:r>
        <w:rPr>
          <w:rFonts w:ascii="Arial" w:cs="Arial" w:eastAsia="Arial" w:hAnsi="Arial"/>
          <w:sz w:val="22"/>
          <w:szCs w:val="22"/>
        </w:rPr>
        <w:t xml:space="preserve">Anandaban Hospital Trauma Centre (Nepal): Uses passive design, off-grid systems, and local materials; contributes to UN SDGs 3 (Good Health), 9 (Infrastructure), and 11 (Sustainable Communities).</w:t>
      </w:r>
    </w:p>
    <w:p>
      <w:pPr>
        <w:pStyle w:val="ListParagraph"/>
        <w:numPr>
          <w:ilvl w:val="0"/>
          <w:numId w:val="2"/>
        </w:numPr>
        <w:spacing w:after="120" w:line="300"/>
      </w:pPr>
      <w:r>
        <w:rPr>
          <w:rFonts w:ascii="Arial" w:cs="Arial" w:eastAsia="Arial" w:hAnsi="Arial"/>
          <w:sz w:val="22"/>
          <w:szCs w:val="22"/>
        </w:rPr>
        <w:t xml:space="preserve">Collège Amadou Hampaâté Bâ (Niger): Used local materials and climate-smart design to create comfortable classrooms for 1,200 students; trained young women in construction.</w:t>
      </w:r>
    </w:p>
    <w:p>
      <w:pPr>
        <w:pStyle w:val="ListParagraph"/>
        <w:numPr>
          <w:ilvl w:val="0"/>
          <w:numId w:val="2"/>
        </w:numPr>
        <w:spacing w:after="120" w:line="300"/>
      </w:pPr>
      <w:r>
        <w:rPr>
          <w:rFonts w:ascii="Arial" w:cs="Arial" w:eastAsia="Arial" w:hAnsi="Arial"/>
          <w:sz w:val="22"/>
          <w:szCs w:val="22"/>
        </w:rPr>
        <w:t xml:space="preserve">Post-Earthquake Pakistan: Rebuilt earthquake-resistant homes and held “Seismic Mitigation” workshops to transfer building skills to the community.</w:t>
      </w:r>
    </w:p>
    <w:p>
      <w:pPr>
        <w:pStyle w:val="ListParagraph"/>
        <w:numPr>
          <w:ilvl w:val="0"/>
          <w:numId w:val="2"/>
        </w:numPr>
        <w:spacing w:after="120" w:line="300"/>
      </w:pPr>
      <w:r>
        <w:rPr>
          <w:rFonts w:ascii="Arial" w:cs="Arial" w:eastAsia="Arial" w:hAnsi="Arial"/>
          <w:sz w:val="22"/>
          <w:szCs w:val="22"/>
        </w:rPr>
        <w:t xml:space="preserve">Dominica: Rebuilt 450 hurricane-resilient homes in partnership with the World Bank and the Government of Dominica.</w:t>
      </w:r>
    </w:p>
    <w:p>
      <w:pPr>
        <w:pStyle w:val="Heading2"/>
      </w:pPr>
      <w:r>
        <w:t xml:space="preserve">4.5 Climate Resilience: Building for 2050, Not Just Today</w:t>
      </w:r>
    </w:p>
    <w:p>
      <w:pPr>
        <w:spacing w:after="200" w:line="320"/>
      </w:pPr>
      <w:r>
        <w:rPr>
          <w:rFonts w:ascii="Arial" w:cs="Arial" w:eastAsia="Arial" w:hAnsi="Arial"/>
          <w:sz w:val="22"/>
          <w:szCs w:val="22"/>
        </w:rPr>
        <w:t xml:space="preserve">A critical gap in most housing proposals — including earlier drafts of this paper — is the failure to integrate climate change as a compounding factor. Climate change is not a background condition; it is an active force reshaping where people can live. Sea-level rise, extreme heat, and flood risk will render some communities uninhabitable within 30 years. The ARK model must therefore build climate resilience into every tier from the outset:</w:t>
      </w:r>
    </w:p>
    <w:p>
      <w:pPr>
        <w:pStyle w:val="ListParagraph"/>
        <w:numPr>
          <w:ilvl w:val="0"/>
          <w:numId w:val="2"/>
        </w:numPr>
        <w:spacing w:after="120" w:line="300"/>
      </w:pPr>
      <w:r>
        <w:rPr>
          <w:rFonts w:ascii="Arial" w:cs="Arial" w:eastAsia="Arial" w:hAnsi="Arial"/>
          <w:sz w:val="22"/>
          <w:szCs w:val="22"/>
        </w:rPr>
        <w:t xml:space="preserve">Siting: No community to be built below projected 2050 flood lines or in extreme heat zones without passive cooling infrastructure.</w:t>
      </w:r>
    </w:p>
    <w:p>
      <w:pPr>
        <w:pStyle w:val="ListParagraph"/>
        <w:numPr>
          <w:ilvl w:val="0"/>
          <w:numId w:val="2"/>
        </w:numPr>
        <w:spacing w:after="120" w:line="300"/>
      </w:pPr>
      <w:r>
        <w:rPr>
          <w:rFonts w:ascii="Arial" w:cs="Arial" w:eastAsia="Arial" w:hAnsi="Arial"/>
          <w:sz w:val="22"/>
          <w:szCs w:val="22"/>
        </w:rPr>
        <w:t xml:space="preserve">Construction: All designs to meet or exceed climate resilience standards for their region — flood elevation, heat tolerance, storm resistance.</w:t>
      </w:r>
    </w:p>
    <w:p>
      <w:pPr>
        <w:pStyle w:val="ListParagraph"/>
        <w:numPr>
          <w:ilvl w:val="0"/>
          <w:numId w:val="2"/>
        </w:numPr>
        <w:spacing w:after="120" w:line="300"/>
      </w:pPr>
      <w:r>
        <w:rPr>
          <w:rFonts w:ascii="Arial" w:cs="Arial" w:eastAsia="Arial" w:hAnsi="Arial"/>
          <w:sz w:val="22"/>
          <w:szCs w:val="22"/>
        </w:rPr>
        <w:t xml:space="preserve">Adaptation fund: 5% of annual dividends ring-fenced for community adaptation costs as climate conditions change.</w:t>
      </w:r>
    </w:p>
    <w:p>
      <w:pPr>
        <w:pStyle w:val="ListParagraph"/>
        <w:numPr>
          <w:ilvl w:val="0"/>
          <w:numId w:val="2"/>
        </w:numPr>
        <w:spacing w:after="120" w:line="300"/>
      </w:pPr>
      <w:r>
        <w:rPr>
          <w:rFonts w:ascii="Arial" w:cs="Arial" w:eastAsia="Arial" w:hAnsi="Arial"/>
          <w:sz w:val="22"/>
          <w:szCs w:val="22"/>
        </w:rPr>
        <w:t xml:space="preserve">Relocation protocol: Communities in high-risk zones to have a documented relocation pathway before construction begins.</w:t>
      </w:r>
    </w:p>
    <w:p>
      <w:pPr>
        <w:spacing w:after="200" w:line="320"/>
      </w:pPr>
      <w:r>
        <w:rPr>
          <w:rFonts w:ascii="Arial" w:cs="Arial" w:eastAsia="Arial" w:hAnsi="Arial"/>
          <w:sz w:val="22"/>
          <w:szCs w:val="22"/>
        </w:rPr>
        <w:t xml:space="preserve">Article 25’s track record across 35 countries includes climate-resilient design in Nepal (earthquake), Dominica (hurricane), and Niger (extreme heat) — demonstrating that the expertise exists and is already embedded in the proposed NGO partnership model.</w:t>
      </w:r>
    </w:p>
    <w:p>
      <w:pPr>
        <w:pStyle w:val="Heading2"/>
      </w:pPr>
      <w:r>
        <w:t xml:space="preserve">4.6 Moladi: Affordable Technology for Scale</w:t>
      </w:r>
    </w:p>
    <w:p>
      <w:pPr>
        <w:spacing w:after="200" w:line="320"/>
      </w:pPr>
      <w:r>
        <w:rPr>
          <w:rFonts w:ascii="Arial" w:cs="Arial" w:eastAsia="Arial" w:hAnsi="Arial"/>
          <w:sz w:val="22"/>
          <w:szCs w:val="22"/>
        </w:rPr>
        <w:t xml:space="preserve">Moladi’s construction technology aligns with 16 of the 17 UN Sustainable Development Goals:</w:t>
      </w:r>
    </w:p>
    <w:p>
      <w:pPr>
        <w:pStyle w:val="ListParagraph"/>
        <w:numPr>
          <w:ilvl w:val="0"/>
          <w:numId w:val="2"/>
        </w:numPr>
        <w:spacing w:after="120" w:line="300"/>
      </w:pPr>
      <w:r>
        <w:rPr>
          <w:rFonts w:ascii="Arial" w:cs="Arial" w:eastAsia="Arial" w:hAnsi="Arial"/>
          <w:sz w:val="22"/>
          <w:szCs w:val="22"/>
        </w:rPr>
        <w:t xml:space="preserve">Green Homes: High-insulation walls reduce household energy demand for heating and cooling by over 50%; cuts material waste by up to 70%.</w:t>
      </w:r>
    </w:p>
    <w:p>
      <w:pPr>
        <w:pStyle w:val="ListParagraph"/>
        <w:numPr>
          <w:ilvl w:val="0"/>
          <w:numId w:val="2"/>
        </w:numPr>
        <w:spacing w:after="120" w:line="300"/>
      </w:pPr>
      <w:r>
        <w:rPr>
          <w:rFonts w:ascii="Arial" w:cs="Arial" w:eastAsia="Arial" w:hAnsi="Arial"/>
          <w:sz w:val="22"/>
          <w:szCs w:val="22"/>
        </w:rPr>
        <w:t xml:space="preserve">Jobs: Cooperative build-teams offer stable employment and skill certification.</w:t>
      </w:r>
    </w:p>
    <w:p>
      <w:pPr>
        <w:pStyle w:val="ListParagraph"/>
        <w:numPr>
          <w:ilvl w:val="0"/>
          <w:numId w:val="2"/>
        </w:numPr>
        <w:spacing w:after="120" w:line="300"/>
      </w:pPr>
      <w:r>
        <w:rPr>
          <w:rFonts w:ascii="Arial" w:cs="Arial" w:eastAsia="Arial" w:hAnsi="Arial"/>
          <w:sz w:val="22"/>
          <w:szCs w:val="22"/>
        </w:rPr>
        <w:t xml:space="preserve">Health: Monolithic, watertight structures improve indoor air quality and reduce vector-borne diseases.</w:t>
      </w:r>
    </w:p>
    <w:p>
      <w:pPr>
        <w:pStyle w:val="ListParagraph"/>
        <w:numPr>
          <w:ilvl w:val="0"/>
          <w:numId w:val="2"/>
        </w:numPr>
        <w:spacing w:after="120" w:line="300"/>
      </w:pPr>
      <w:r>
        <w:rPr>
          <w:rFonts w:ascii="Arial" w:cs="Arial" w:eastAsia="Arial" w:hAnsi="Arial"/>
          <w:sz w:val="22"/>
          <w:szCs w:val="22"/>
        </w:rPr>
        <w:t xml:space="preserve">Speed: Reusable plastic formwork enables rapid construction at scale.</w:t>
      </w:r>
    </w:p>
    <w:p>
      <w:pPr>
        <w:spacing w:after="200"/>
      </w:pPr>
      <w:r>
        <w:t xml:space="preserve"/>
      </w:r>
    </w:p>
    <w:p>
      <w:pPr>
        <w:pStyle w:val="Heading1"/>
      </w:pPr>
      <w:r>
        <w:t xml:space="preserve">5. Governance: Strategic Partnership, Not Political Interference</w:t>
      </w:r>
    </w:p>
    <w:p>
      <w:pPr>
        <w:pStyle w:val="Heading2"/>
      </w:pPr>
      <w:r>
        <w:t xml:space="preserve">5.1 The Strategic Partnership Principle</w:t>
      </w:r>
    </w:p>
    <w:p>
      <w:pPr>
        <w:spacing w:after="200" w:line="320"/>
      </w:pPr>
      <w:r>
        <w:rPr>
          <w:rFonts w:ascii="Arial" w:cs="Arial" w:eastAsia="Arial" w:hAnsi="Arial"/>
          <w:sz w:val="22"/>
          <w:szCs w:val="22"/>
        </w:rPr>
        <w:t xml:space="preserve">A critical clarification: the ARK model does not require the absence of government — it requires the absence of political interference in day-to-day operations. Governments are essential partners for land allocation, zoning approvals, building permits, and infrastructure connections. What the model avoids is government control over community governance, resident selection, and operational decisions.</w:t>
      </w:r>
    </w:p>
    <w:p>
      <w:pPr>
        <w:spacing w:after="200" w:line="320"/>
      </w:pPr>
      <w:r>
        <w:rPr>
          <w:rFonts w:ascii="Arial" w:cs="Arial" w:eastAsia="Arial" w:hAnsi="Arial"/>
          <w:sz w:val="22"/>
          <w:szCs w:val="22"/>
        </w:rPr>
        <w:t xml:space="preserve">The distinction matters, and it has been demonstrated at scale in two directly relevant precedents.</w:t>
      </w:r>
    </w:p>
    <w:p>
      <w:pPr>
        <w:spacing w:after="200" w:line="320"/>
      </w:pPr>
      <w:r>
        <w:rPr>
          <w:rFonts w:ascii="Arial" w:cs="Arial" w:eastAsia="Arial" w:hAnsi="Arial"/>
          <w:sz w:val="22"/>
          <w:szCs w:val="22"/>
        </w:rPr>
        <w:t xml:space="preserve">Singapore’s Housing Development Board (HDB) is the most cited example of government-enabled, institutionally governed mass housing. Since 1960, the HDB has housed over 80% of Singapore’s population through a model in which the government provides land at subsidised rates, sets design and quality standards, and underwrites construction financing — but individual housing estates are managed by elected Residents’ Committees with genuine operational autonomy. The government enables; the community governs day-to-day. This is the structural model the ARK Foundation replicates, with an NGO replacing the HDB as the institutional intermediary and equity endowment replacing government-subsidised land as the financing mechanism.</w:t>
      </w:r>
    </w:p>
    <w:p>
      <w:pPr>
        <w:spacing w:after="200" w:line="320"/>
      </w:pPr>
      <w:r>
        <w:rPr>
          <w:rFonts w:ascii="Arial" w:cs="Arial" w:eastAsia="Arial" w:hAnsi="Arial"/>
          <w:sz w:val="22"/>
          <w:szCs w:val="22"/>
        </w:rPr>
        <w:t xml:space="preserve">India’s Pradhan Mantri Awas Yojana (PMAY) provides a second precedent directly applicable to emerging-market ARK pilots. Under PMAY, the central government provides per-unit subsidies and sets quality standards; state governments allocate land and grant planning permissions; implementation is contracted to registered NGOs, cooperatives, and private developers. The programme has delivered over 12 million housing units since 2015 (Ministry of Housing and Urban Affairs, 2024). The ARK model’s “One Nation, One NGO” structure is directly analogous to PMAY’s implementing partner model, with equity endowment replacing per-unit government subsidy as the funding mechanism. The ARK model is not unprecedented; it is a private-sector-funded variant of a governance structure that already works at scale.</w:t>
      </w:r>
    </w:p>
    <w:p>
      <w:pPr>
        <w:pStyle w:val="ListParagraph"/>
        <w:numPr>
          <w:ilvl w:val="0"/>
          <w:numId w:val="2"/>
        </w:numPr>
        <w:spacing w:after="120" w:line="300"/>
      </w:pPr>
      <w:r>
        <w:rPr>
          <w:rFonts w:ascii="Arial" w:cs="Arial" w:eastAsia="Arial" w:hAnsi="Arial"/>
          <w:sz w:val="22"/>
          <w:szCs w:val="22"/>
        </w:rPr>
        <w:t xml:space="preserve">Governments provide: land allocation, zoning, permits, infrastructure connections, legislative framework for equity transfers</w:t>
      </w:r>
    </w:p>
    <w:p>
      <w:pPr>
        <w:pStyle w:val="ListParagraph"/>
        <w:numPr>
          <w:ilvl w:val="0"/>
          <w:numId w:val="2"/>
        </w:numPr>
        <w:spacing w:after="120" w:line="300"/>
      </w:pPr>
      <w:r>
        <w:rPr>
          <w:rFonts w:ascii="Arial" w:cs="Arial" w:eastAsia="Arial" w:hAnsi="Arial"/>
          <w:sz w:val="22"/>
          <w:szCs w:val="22"/>
        </w:rPr>
        <w:t xml:space="preserve">NGOs provide: community governance, resident selection, operational management, social enterprise</w:t>
      </w:r>
    </w:p>
    <w:p>
      <w:pPr>
        <w:pStyle w:val="ListParagraph"/>
        <w:numPr>
          <w:ilvl w:val="0"/>
          <w:numId w:val="2"/>
        </w:numPr>
        <w:spacing w:after="120" w:line="300"/>
      </w:pPr>
      <w:r>
        <w:rPr>
          <w:rFonts w:ascii="Arial" w:cs="Arial" w:eastAsia="Arial" w:hAnsi="Arial"/>
          <w:sz w:val="22"/>
          <w:szCs w:val="22"/>
        </w:rPr>
        <w:t xml:space="preserve">Independent Board of Guardians provides: financial oversight, accountability, dispute resolution</w:t>
      </w:r>
    </w:p>
    <w:p>
      <w:pPr>
        <w:pStyle w:val="ListParagraph"/>
        <w:numPr>
          <w:ilvl w:val="0"/>
          <w:numId w:val="2"/>
        </w:numPr>
        <w:spacing w:after="120" w:line="300"/>
      </w:pPr>
      <w:r>
        <w:rPr>
          <w:rFonts w:ascii="Arial" w:cs="Arial" w:eastAsia="Arial" w:hAnsi="Arial"/>
          <w:sz w:val="22"/>
          <w:szCs w:val="22"/>
        </w:rPr>
        <w:t xml:space="preserve">Resident Councils provide: day-to-day community voice and co-production of decisions</w:t>
      </w:r>
    </w:p>
    <w:p>
      <w:pPr>
        <w:pStyle w:val="Heading2"/>
      </w:pPr>
      <w:r>
        <w:t xml:space="preserve">5.2 Why NGOs, Not Governments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rPr>
          <w:tblHeader/>
        </w:trPr>
        <w:tc>
          <w:tcPr>
            <w:tcW w:type="dxa" w:w="4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NGO Advantages</w:t>
            </w:r>
          </w:p>
        </w:tc>
        <w:tc>
          <w:tcPr>
            <w:tcW w:type="dxa" w:w="4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Government Disadvantages</w:t>
            </w:r>
          </w:p>
        </w:tc>
      </w:tr>
      <w:tr>
        <w:tc>
          <w:tcPr>
            <w:tcW w:type="dxa" w:w="4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Local Knowledge: NGOs understand local communities, cultural contexts, and specific needs</w:t>
            </w:r>
          </w:p>
        </w:tc>
        <w:tc>
          <w:tcPr>
            <w:tcW w:type="dxa" w:w="4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Bureaucracy: Government processes are slow, complex, and resistant to change</w:t>
            </w:r>
          </w:p>
        </w:tc>
      </w:tr>
      <w:tr>
        <w:tc>
          <w:tcPr>
            <w:tcW w:type="dxa" w:w="4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Agility: NGOs can adapt quickly to changing circumstances without bureaucratic delays</w:t>
            </w:r>
          </w:p>
        </w:tc>
        <w:tc>
          <w:tcPr>
            <w:tcW w:type="dxa" w:w="4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Political Interference: Funding and priorities shift with election cycles</w:t>
            </w:r>
          </w:p>
        </w:tc>
      </w:tr>
      <w:tr>
        <w:tc>
          <w:tcPr>
            <w:tcW w:type="dxa" w:w="4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Accountability: NGOs are accountable to their beneficiaries and donors, not to political cycles</w:t>
            </w:r>
          </w:p>
        </w:tc>
        <w:tc>
          <w:tcPr>
            <w:tcW w:type="dxa" w:w="4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Corruption: Government programs are vulnerable to patronage and corruption</w:t>
            </w:r>
          </w:p>
        </w:tc>
      </w:tr>
      <w:tr>
        <w:tc>
          <w:tcPr>
            <w:tcW w:type="dxa" w:w="4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Trust: Communities often trust NGOs more than government agencies</w:t>
            </w:r>
          </w:p>
        </w:tc>
        <w:tc>
          <w:tcPr>
            <w:tcW w:type="dxa" w:w="4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Infrastructure Deficit: Governments often lack the technical expertise to implement at scale</w:t>
            </w:r>
          </w:p>
        </w:tc>
      </w:tr>
      <w:tr>
        <w:tc>
          <w:tcPr>
            <w:tcW w:type="dxa" w:w="4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Innovation: NGOs can experiment with new approaches without political risk</w:t>
            </w:r>
          </w:p>
        </w:tc>
        <w:tc>
          <w:tcPr>
            <w:tcW w:type="dxa" w:w="4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Fragmentation: Government programs are often fragmented across multiple agencies with poor coordination</w:t>
            </w:r>
          </w:p>
        </w:tc>
      </w:tr>
    </w:tbl>
    <w:p>
      <w:pPr>
        <w:spacing w:after="100"/>
      </w:pPr>
      <w:r>
        <w:t xml:space="preserve"/>
      </w:r>
    </w:p>
    <w:p>
      <w:pPr>
        <w:pStyle w:val="Heading2"/>
      </w:pPr>
      <w:r>
        <w:t xml:space="preserve">5.3 The “One Nation, One NGO” Principle</w:t>
      </w:r>
    </w:p>
    <w:p>
      <w:pPr>
        <w:spacing w:after="200" w:line="320"/>
      </w:pPr>
      <w:r>
        <w:rPr>
          <w:rFonts w:ascii="Arial" w:cs="Arial" w:eastAsia="Arial" w:hAnsi="Arial"/>
          <w:sz w:val="22"/>
          <w:szCs w:val="22"/>
        </w:rPr>
        <w:t xml:space="preserve">To prevent fragmentation, each country designates a single implementing partner — an NGO with proven capacity in housing-first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000"/>
      </w:tblGrid>
      <w:tr>
        <w:trPr>
          <w:tblHeader/>
        </w:trPr>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Country/Region</w:t>
            </w:r>
          </w:p>
        </w:tc>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Proposed Partner</w:t>
            </w:r>
          </w:p>
        </w:tc>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Rationale</w:t>
            </w:r>
          </w:p>
        </w:tc>
      </w:tr>
      <w:tr>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USA</w:t>
            </w:r>
          </w:p>
        </w:tc>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Habitat for Humanity International</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Proven large-scale builder</w:t>
            </w:r>
          </w:p>
        </w:tc>
      </w:tr>
      <w:tr>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India</w:t>
            </w:r>
          </w:p>
        </w:tc>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Tata Trusts</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Deep community reach</w:t>
            </w:r>
          </w:p>
        </w:tc>
      </w:tr>
      <w:tr>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Nigeria</w:t>
            </w:r>
          </w:p>
        </w:tc>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Family Homes Funds Ltd</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Federal government-backed</w:t>
            </w:r>
          </w:p>
        </w:tc>
      </w:tr>
      <w:tr>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United Kingdom</w:t>
            </w:r>
          </w:p>
        </w:tc>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Emmaus UK</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29 communities, proven model</w:t>
            </w:r>
          </w:p>
        </w:tc>
      </w:tr>
      <w:tr>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Germany/EU</w:t>
            </w:r>
          </w:p>
        </w:tc>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Bauhaus Earth</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Sustainable design expertise</w:t>
            </w:r>
          </w:p>
        </w:tc>
      </w:tr>
    </w:tbl>
    <w:p>
      <w:pPr>
        <w:spacing w:after="100"/>
      </w:pPr>
      <w:r>
        <w:t xml:space="preserve"/>
      </w:r>
    </w:p>
    <w:p>
      <w:pPr>
        <w:spacing w:after="200" w:line="320"/>
      </w:pPr>
      <w:r>
        <w:rPr>
          <w:rFonts w:ascii="Arial" w:cs="Arial" w:eastAsia="Arial" w:hAnsi="Arial"/>
          <w:sz w:val="22"/>
          <w:szCs w:val="22"/>
        </w:rPr>
        <w:t xml:space="preserve">The Rule: Mixed-income communities — 70% for the homeless/displaced, 30% for low-income essential workers — to prevent ghettoization.</w:t>
      </w:r>
    </w:p>
    <w:p>
      <w:pPr>
        <w:pStyle w:val="Heading2"/>
      </w:pPr>
      <w:r>
        <w:t xml:space="preserve">5.4 NGO Capacity: What Scale Requires</w:t>
      </w:r>
    </w:p>
    <w:p>
      <w:pPr>
        <w:spacing w:after="200" w:line="320"/>
      </w:pPr>
      <w:r>
        <w:rPr>
          <w:rFonts w:ascii="Arial" w:cs="Arial" w:eastAsia="Arial" w:hAnsi="Arial"/>
          <w:sz w:val="22"/>
          <w:szCs w:val="22"/>
        </w:rPr>
        <w:t xml:space="preserve">The ARK model proposes that a single NGO per country receive and manage equity endowments potentially worth hundreds of millions of dollars. This is a legitimate capacity concern that the paper addresses directly. The proposed implementing partners — Tata Trusts, Habitat for Humanity International, Family Homes Funds Ltd, Emmaus UK — were selected partly because they already operate at significant scale. Tata Trusts manages approximately US$5 billion in assets and has operated for over a century. Habitat for Humanity International has built or repaired over 1.5 million homes across 70 countries. These are not organisations that would be overwhelmed by large equity endowments; they are institutions with the legal structures, financial management capabilities, and governance frameworks to handle them.</w:t>
      </w:r>
    </w:p>
    <w:p>
      <w:pPr>
        <w:spacing w:after="200" w:line="320"/>
      </w:pPr>
      <w:r>
        <w:rPr>
          <w:rFonts w:ascii="Arial" w:cs="Arial" w:eastAsia="Arial" w:hAnsi="Arial"/>
          <w:sz w:val="22"/>
          <w:szCs w:val="22"/>
        </w:rPr>
        <w:t xml:space="preserve">That said, equity endowment management is distinct from operational housing management. Three additional capacity requirements are non-negotiable. First, a dedicated endowment management function: each national NGO must establish or contract a professional endowment management team, separate from their operational housing function, before receiving equity. Second, a formal capacity assessment conducted against specific measurable criteria. Third, phased transfer: equity is transferred in tranches, with each subsequent tranche conditional on demonstrated performance.</w:t>
      </w:r>
    </w:p>
    <w:p>
      <w:pPr>
        <w:spacing w:after="200" w:line="320"/>
      </w:pPr>
      <w:r>
        <w:rPr>
          <w:rFonts w:ascii="Arial" w:cs="Arial" w:eastAsia="Arial" w:hAnsi="Arial"/>
          <w:sz w:val="22"/>
          <w:szCs w:val="22"/>
        </w:rPr>
        <w:t xml:space="preserve">The formal capacity assessment uses the following minimum criteria, all of which must be met before the first equity tranche is released:</w:t>
      </w:r>
    </w:p>
    <w:p>
      <w:pPr>
        <w:pStyle w:val="ListParagraph"/>
        <w:numPr>
          <w:ilvl w:val="0"/>
          <w:numId w:val="2"/>
        </w:numPr>
        <w:spacing w:after="120" w:line="300"/>
      </w:pPr>
      <w:r>
        <w:rPr>
          <w:rFonts w:ascii="Arial" w:cs="Arial" w:eastAsia="Arial" w:hAnsi="Arial"/>
          <w:sz w:val="22"/>
          <w:szCs w:val="22"/>
        </w:rPr>
        <w:t xml:space="preserve">Assets under management: minimum US$50 million in independently audited assets, demonstrating financial management at scale</w:t>
      </w:r>
    </w:p>
    <w:p>
      <w:pPr>
        <w:pStyle w:val="ListParagraph"/>
        <w:numPr>
          <w:ilvl w:val="0"/>
          <w:numId w:val="2"/>
        </w:numPr>
        <w:spacing w:after="120" w:line="300"/>
      </w:pPr>
      <w:r>
        <w:rPr>
          <w:rFonts w:ascii="Arial" w:cs="Arial" w:eastAsia="Arial" w:hAnsi="Arial"/>
          <w:sz w:val="22"/>
          <w:szCs w:val="22"/>
        </w:rPr>
        <w:t xml:space="preserve">Operating history: minimum 10 years of continuous operation in the relevant jurisdiction</w:t>
      </w:r>
    </w:p>
    <w:p>
      <w:pPr>
        <w:pStyle w:val="ListParagraph"/>
        <w:numPr>
          <w:ilvl w:val="0"/>
          <w:numId w:val="2"/>
        </w:numPr>
        <w:spacing w:after="120" w:line="300"/>
      </w:pPr>
      <w:r>
        <w:rPr>
          <w:rFonts w:ascii="Arial" w:cs="Arial" w:eastAsia="Arial" w:hAnsi="Arial"/>
          <w:sz w:val="22"/>
          <w:szCs w:val="22"/>
        </w:rPr>
        <w:t xml:space="preserve">Housing delivery record: minimum 5,000 housing units built, renovated, or managed, with independent verification</w:t>
      </w:r>
    </w:p>
    <w:p>
      <w:pPr>
        <w:pStyle w:val="ListParagraph"/>
        <w:numPr>
          <w:ilvl w:val="0"/>
          <w:numId w:val="2"/>
        </w:numPr>
        <w:spacing w:after="120" w:line="300"/>
      </w:pPr>
      <w:r>
        <w:rPr>
          <w:rFonts w:ascii="Arial" w:cs="Arial" w:eastAsia="Arial" w:hAnsi="Arial"/>
          <w:sz w:val="22"/>
          <w:szCs w:val="22"/>
        </w:rPr>
        <w:t xml:space="preserve">Governance: independent board of trustees with a minimum of 5 members, no single entity controlling more than 25% of board appointments</w:t>
      </w:r>
    </w:p>
    <w:p>
      <w:pPr>
        <w:pStyle w:val="ListParagraph"/>
        <w:numPr>
          <w:ilvl w:val="0"/>
          <w:numId w:val="2"/>
        </w:numPr>
        <w:spacing w:after="120" w:line="300"/>
      </w:pPr>
      <w:r>
        <w:rPr>
          <w:rFonts w:ascii="Arial" w:cs="Arial" w:eastAsia="Arial" w:hAnsi="Arial"/>
          <w:sz w:val="22"/>
          <w:szCs w:val="22"/>
        </w:rPr>
        <w:t xml:space="preserve">Audit history: minimum 3 consecutive years of clean independent financial audits, published publicly</w:t>
      </w:r>
    </w:p>
    <w:p>
      <w:pPr>
        <w:pStyle w:val="ListParagraph"/>
        <w:numPr>
          <w:ilvl w:val="0"/>
          <w:numId w:val="2"/>
        </w:numPr>
        <w:spacing w:after="120" w:line="300"/>
      </w:pPr>
      <w:r>
        <w:rPr>
          <w:rFonts w:ascii="Arial" w:cs="Arial" w:eastAsia="Arial" w:hAnsi="Arial"/>
          <w:sz w:val="22"/>
          <w:szCs w:val="22"/>
        </w:rPr>
        <w:t xml:space="preserve">Legal standing: registered as a charity or non-profit entity under the relevant national law, with no outstanding regulatory sanctions</w:t>
      </w:r>
    </w:p>
    <w:p>
      <w:pPr>
        <w:spacing w:after="200" w:line="320"/>
      </w:pPr>
      <w:r>
        <w:rPr>
          <w:rFonts w:ascii="Arial" w:cs="Arial" w:eastAsia="Arial" w:hAnsi="Arial"/>
          <w:sz w:val="22"/>
          <w:szCs w:val="22"/>
        </w:rPr>
        <w:t xml:space="preserve">All four proposed initial implementing partners — Tata Trusts, Habitat for Humanity International, Family Homes Funds Ltd, and Emmaus UK — meet these criteria as of 2026. Tata Trusts manages approximately US$5 billion in assets and has operated for over a century. Habitat for Humanity International has delivered housing to over 1.5 million families across 70 countries. These are not organisations that would be overwhelmed by large equity endowments; they are institutions with the governance and operational capacity to manage them. Subsequent implementing partners in other jurisdictions must satisfy the same criteria before the first equity transfer.</w:t>
      </w:r>
    </w:p>
    <w:p>
      <w:pPr>
        <w:pStyle w:val="Heading2"/>
      </w:pPr>
      <w:r>
        <w:t xml:space="preserve">5.5 NGO Structural Models</w:t>
      </w:r>
    </w:p>
    <w:p>
      <w:pPr>
        <w:spacing w:after="200" w:line="320"/>
      </w:pPr>
      <w:r>
        <w:rPr>
          <w:rFonts w:ascii="Arial" w:cs="Arial" w:eastAsia="Arial" w:hAnsi="Arial"/>
          <w:sz w:val="22"/>
          <w:szCs w:val="22"/>
        </w:rPr>
        <w:t xml:space="preserve">Emmaus UK’s federated model provides a proven template:</w:t>
      </w:r>
    </w:p>
    <w:p>
      <w:pPr>
        <w:pStyle w:val="ListParagraph"/>
        <w:numPr>
          <w:ilvl w:val="0"/>
          <w:numId w:val="2"/>
        </w:numPr>
        <w:spacing w:after="120" w:line="300"/>
      </w:pPr>
      <w:r>
        <w:rPr>
          <w:rFonts w:ascii="Arial" w:cs="Arial" w:eastAsia="Arial" w:hAnsi="Arial"/>
          <w:sz w:val="22"/>
          <w:szCs w:val="22"/>
        </w:rPr>
        <w:t xml:space="preserve">29 communities across England, Wales, and Scotland</w:t>
      </w:r>
    </w:p>
    <w:p>
      <w:pPr>
        <w:pStyle w:val="ListParagraph"/>
        <w:numPr>
          <w:ilvl w:val="0"/>
          <w:numId w:val="2"/>
        </w:numPr>
        <w:spacing w:after="120" w:line="300"/>
      </w:pPr>
      <w:r>
        <w:rPr>
          <w:rFonts w:ascii="Arial" w:cs="Arial" w:eastAsia="Arial" w:hAnsi="Arial"/>
          <w:sz w:val="22"/>
          <w:szCs w:val="22"/>
        </w:rPr>
        <w:t xml:space="preserve">Each community operates with local autonomy while sharing Federation standards</w:t>
      </w:r>
    </w:p>
    <w:p>
      <w:pPr>
        <w:pStyle w:val="ListParagraph"/>
        <w:numPr>
          <w:ilvl w:val="0"/>
          <w:numId w:val="2"/>
        </w:numPr>
        <w:spacing w:after="120" w:line="300"/>
      </w:pPr>
      <w:r>
        <w:rPr>
          <w:rFonts w:ascii="Arial" w:cs="Arial" w:eastAsia="Arial" w:hAnsi="Arial"/>
          <w:sz w:val="22"/>
          <w:szCs w:val="22"/>
        </w:rPr>
        <w:t xml:space="preserve">“Positive approaches” embedded across all communities: psychologically informed environments, trauma-informed care, strength-based practices</w:t>
      </w:r>
    </w:p>
    <w:p>
      <w:pPr>
        <w:pStyle w:val="ListParagraph"/>
        <w:numPr>
          <w:ilvl w:val="0"/>
          <w:numId w:val="2"/>
        </w:numPr>
        <w:spacing w:after="120" w:line="300"/>
      </w:pPr>
      <w:r>
        <w:rPr>
          <w:rFonts w:ascii="Arial" w:cs="Arial" w:eastAsia="Arial" w:hAnsi="Arial"/>
          <w:sz w:val="22"/>
          <w:szCs w:val="22"/>
        </w:rPr>
        <w:t xml:space="preserve">Over 80 staff members trained in positive approaches, with more sessions planned</w:t>
      </w:r>
    </w:p>
    <w:p>
      <w:pPr>
        <w:spacing w:after="200" w:line="320"/>
      </w:pPr>
      <w:r>
        <w:rPr>
          <w:rFonts w:ascii="Arial" w:cs="Arial" w:eastAsia="Arial" w:hAnsi="Arial"/>
          <w:sz w:val="22"/>
          <w:szCs w:val="22"/>
        </w:rPr>
        <w:t xml:space="preserve">Key Insight: NGOs must “reverse engineer” buildings for energy efficiency to minimize operating costs — enabling lower tenant fees and long-term sustainability.</w:t>
      </w:r>
    </w:p>
    <w:p>
      <w:pPr>
        <w:pStyle w:val="Heading2"/>
      </w:pPr>
      <w:r>
        <w:t xml:space="preserve">5.6 Board of Guardians: Governance Structure</w:t>
      </w:r>
    </w:p>
    <w:p>
      <w:pPr>
        <w:spacing w:after="200" w:line="320"/>
      </w:pPr>
      <w:r>
        <w:rPr>
          <w:rFonts w:ascii="Arial" w:cs="Arial" w:eastAsia="Arial" w:hAnsi="Arial"/>
          <w:sz w:val="22"/>
          <w:szCs w:val="22"/>
        </w:rPr>
        <w:t xml:space="preserve">The Board of Guardians is the ARK Foundation’s primary accountability mechanism. Its structure must be specified, not assumed.</w:t>
      </w:r>
    </w:p>
    <w:p>
      <w:pPr>
        <w:pStyle w:val="ListParagraph"/>
        <w:numPr>
          <w:ilvl w:val="0"/>
          <w:numId w:val="2"/>
        </w:numPr>
        <w:spacing w:after="120" w:line="300"/>
      </w:pPr>
      <w:r>
        <w:rPr>
          <w:rFonts w:ascii="Arial" w:cs="Arial" w:eastAsia="Arial" w:hAnsi="Arial"/>
          <w:sz w:val="22"/>
          <w:szCs w:val="22"/>
        </w:rPr>
        <w:t xml:space="preserve">Composition: 12 members — 3 global housing experts (nominated by UN-Habitat), 3 former residents of ARK communities (elected by Resident Councils), 3 corporate representatives (rotated annually from pledging companies), 3 civil society representatives (nominated by Emmaus, Habitat for Humanity, Article 25).</w:t>
      </w:r>
    </w:p>
    <w:p>
      <w:pPr>
        <w:pStyle w:val="ListParagraph"/>
        <w:numPr>
          <w:ilvl w:val="0"/>
          <w:numId w:val="2"/>
        </w:numPr>
        <w:spacing w:after="120" w:line="300"/>
      </w:pPr>
      <w:r>
        <w:rPr>
          <w:rFonts w:ascii="Arial" w:cs="Arial" w:eastAsia="Arial" w:hAnsi="Arial"/>
          <w:sz w:val="22"/>
          <w:szCs w:val="22"/>
        </w:rPr>
        <w:t xml:space="preserve">Appointment: No single entity controls more than 25% of appointments. Terms are 3 years, staggered, non-renewable.</w:t>
      </w:r>
    </w:p>
    <w:p>
      <w:pPr>
        <w:pStyle w:val="ListParagraph"/>
        <w:numPr>
          <w:ilvl w:val="0"/>
          <w:numId w:val="2"/>
        </w:numPr>
        <w:spacing w:after="120" w:line="300"/>
      </w:pPr>
      <w:r>
        <w:rPr>
          <w:rFonts w:ascii="Arial" w:cs="Arial" w:eastAsia="Arial" w:hAnsi="Arial"/>
          <w:sz w:val="22"/>
          <w:szCs w:val="22"/>
        </w:rPr>
        <w:t xml:space="preserve">Conflict resolution: Disputes between national NGOs and the ARK Foundation are referred to a standing arbitration panel of 3 independent lawyers, one each nominated by UN-Habitat, the host country’s bar association, and the ARK Board.</w:t>
      </w:r>
    </w:p>
    <w:p>
      <w:pPr>
        <w:pStyle w:val="ListParagraph"/>
        <w:numPr>
          <w:ilvl w:val="0"/>
          <w:numId w:val="2"/>
        </w:numPr>
        <w:spacing w:after="120" w:line="300"/>
      </w:pPr>
      <w:r>
        <w:rPr>
          <w:rFonts w:ascii="Arial" w:cs="Arial" w:eastAsia="Arial" w:hAnsi="Arial"/>
          <w:sz w:val="22"/>
          <w:szCs w:val="22"/>
        </w:rPr>
        <w:t xml:space="preserve">Accountability: Annual audits published publicly within 90 days of financial year end. Any Board member may be removed by a 75% supermajority vote.</w:t>
      </w:r>
    </w:p>
    <w:p>
      <w:pPr>
        <w:pStyle w:val="ListParagraph"/>
        <w:numPr>
          <w:ilvl w:val="0"/>
          <w:numId w:val="2"/>
        </w:numPr>
        <w:spacing w:after="120" w:line="300"/>
      </w:pPr>
      <w:r>
        <w:rPr>
          <w:rFonts w:ascii="Arial" w:cs="Arial" w:eastAsia="Arial" w:hAnsi="Arial"/>
          <w:sz w:val="22"/>
          <w:szCs w:val="22"/>
        </w:rPr>
        <w:t xml:space="preserve">Resident voice: Each community’s Resident Council has the right to submit formal complaints directly to the Board, bypassing the national NGO if necessary.</w:t>
      </w:r>
    </w:p>
    <w:p>
      <w:pPr>
        <w:spacing w:after="200" w:line="320"/>
      </w:pPr>
      <w:r>
        <w:rPr>
          <w:rFonts w:ascii="Arial" w:cs="Arial" w:eastAsia="Arial" w:hAnsi="Arial"/>
          <w:sz w:val="22"/>
          <w:szCs w:val="22"/>
        </w:rPr>
        <w:t xml:space="preserve">This structure is modelled on successful hybrid governance frameworks including the Global Fund for AIDS, Tuberculosis and Malaria, which governs US$4 billion in annual disbursements across 100+ countries using a comparable multi-stakeholder board design.</w:t>
      </w:r>
    </w:p>
    <w:p>
      <w:pPr>
        <w:spacing w:after="200"/>
      </w:pPr>
      <w:r>
        <w:t xml:space="preserve"/>
      </w:r>
    </w:p>
    <w:p>
      <w:pPr>
        <w:pStyle w:val="Heading1"/>
      </w:pPr>
      <w:r>
        <w:t xml:space="preserve">6. The Economics of Self-Sustaining Communities</w:t>
      </w:r>
    </w:p>
    <w:p>
      <w:pPr>
        <w:pStyle w:val="Heading2"/>
      </w:pPr>
      <w:r>
        <w:t xml:space="preserve">6.1 The 20,000-Person Business 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000"/>
        <w:gridCol w:w="3000"/>
      </w:tblGrid>
      <w:tr>
        <w:trPr>
          <w:tblHeader/>
        </w:trPr>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Metric</w:t>
            </w:r>
          </w:p>
        </w:tc>
        <w:tc>
          <w:tcPr>
            <w:tcW w:type="dxa" w:w="2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Per-Unit Cost</w:t>
            </w:r>
          </w:p>
        </w:tc>
        <w:tc>
          <w:tcPr>
            <w:tcW w:type="dxa" w:w="3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20,000-Person Community</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Construction (per bed)</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US$9,000</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US$180,000,000</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Land Acquisition</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US$5,000,000</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Infrastructure (water/solar/sewage)</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US$10,000,000</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Schools &amp; Clinics</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US$8,000,000</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Total Capital Cost</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US$203,000,000</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Annual Dividends from 1% Equity (assuming US$20B market cap)</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US$20,000,000</w:t>
            </w:r>
          </w:p>
        </w:tc>
      </w:tr>
      <w:tr>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Annual Resident Fees (20,000 x US$30/month)</w:t>
            </w:r>
          </w:p>
        </w:tc>
        <w:tc>
          <w:tcPr>
            <w:tcW w:type="dxa" w:w="2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US$7,200,000</w:t>
            </w:r>
          </w:p>
        </w:tc>
      </w:tr>
      <w:tr>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Total Annual Operational Budget</w:t>
            </w:r>
          </w:p>
        </w:tc>
        <w:tc>
          <w:tcPr>
            <w:tcW w:type="dxa" w:w="2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w:t>
            </w:r>
          </w:p>
        </w:tc>
        <w:tc>
          <w:tcPr>
            <w:tcW w:type="dxa" w:w="3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US$27,200,000</w:t>
            </w:r>
          </w:p>
        </w:tc>
      </w:tr>
    </w:tbl>
    <w:p>
      <w:pPr>
        <w:spacing w:after="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MODEL ASSUMPTIONS AND EXPECTED RESULT</w:t>
            </w:r>
          </w:p>
          <w:p>
            <w:pPr>
              <w:spacing w:line="300"/>
            </w:pPr>
            <w:r>
              <w:rPr>
                <w:rFonts w:ascii="Arial" w:cs="Arial" w:eastAsia="Arial" w:hAnsi="Arial"/>
                <w:i/>
                <w:iCs/>
                <w:sz w:val="22"/>
                <w:szCs w:val="22"/>
              </w:rPr>
              <w:t xml:space="preserve">The self-sustaining model rests on three assumptions: (1) equity endowments maintain long-term value — supported by historical tech sector performance but not guaranteed; (2) resident fees cover 60–80% of operational costs — based on Emmaus community operating data; (3) Development Finance Institutions provide concessional loans against blue-chip equity collateral — an assumption consistent with IFC blended finance precedents but requiring negotiation in each jurisdiction. If all three hold, the community pays for itself within five years and the equity endowment funds the next community.</w:t>
            </w:r>
          </w:p>
        </w:tc>
      </w:tr>
    </w:tbl>
    <w:p>
      <w:pPr>
        <w:spacing w:after="200" w:line="320"/>
      </w:pPr>
      <w:r>
        <w:rPr>
          <w:rFonts w:ascii="Arial" w:cs="Arial" w:eastAsia="Arial" w:hAnsi="Arial"/>
          <w:sz w:val="22"/>
          <w:szCs w:val="22"/>
        </w:rPr>
        <w:t xml:space="preserve">Risk caveat: equity collateral is subject to market fluctuation. A sustained market downturn could reduce collateral value and constrain borrowing capacity. The model therefore requires two safeguards: (1) diversification across multiple corporate pledges so no single company’s stock collapse breaks the fund; and (2) a minimum 18-month cash reserve drawn from dividends to maintain operations through market disruptions. The Pledge 1% structure already accommodates diversification — 20,000 companies across 130 countries means the fund is not dependent on any single stock.</w:t>
      </w:r>
    </w:p>
    <w:p>
      <w:pPr>
        <w:pStyle w:val="Heading2"/>
      </w:pPr>
      <w:r>
        <w:t xml:space="preserve">6.2 The Revolving Fund Mechanism</w:t>
      </w:r>
    </w:p>
    <w:p>
      <w:pPr>
        <w:pStyle w:val="ListParagraph"/>
        <w:numPr>
          <w:ilvl w:val="0"/>
          <w:numId w:val="2"/>
        </w:numPr>
        <w:spacing w:after="120" w:line="300"/>
      </w:pPr>
      <w:r>
        <w:rPr>
          <w:rFonts w:ascii="Arial" w:cs="Arial" w:eastAsia="Arial" w:hAnsi="Arial"/>
          <w:sz w:val="22"/>
          <w:szCs w:val="22"/>
        </w:rPr>
        <w:t xml:space="preserve">Year 0: Tech Corp transfers 1% equity to Nation-NGO.</w:t>
      </w:r>
    </w:p>
    <w:p>
      <w:pPr>
        <w:pStyle w:val="ListParagraph"/>
        <w:numPr>
          <w:ilvl w:val="0"/>
          <w:numId w:val="2"/>
        </w:numPr>
        <w:spacing w:after="120" w:line="300"/>
      </w:pPr>
      <w:r>
        <w:rPr>
          <w:rFonts w:ascii="Arial" w:cs="Arial" w:eastAsia="Arial" w:hAnsi="Arial"/>
          <w:sz w:val="22"/>
          <w:szCs w:val="22"/>
        </w:rPr>
        <w:t xml:space="preserve">Year 1: NGO uses blue-chip stock as collateral for 0% “Social Impact Loan” from Development Finance Institutions.</w:t>
      </w:r>
    </w:p>
    <w:p>
      <w:pPr>
        <w:pStyle w:val="ListParagraph"/>
        <w:numPr>
          <w:ilvl w:val="0"/>
          <w:numId w:val="2"/>
        </w:numPr>
        <w:spacing w:after="120" w:line="300"/>
      </w:pPr>
      <w:r>
        <w:rPr>
          <w:rFonts w:ascii="Arial" w:cs="Arial" w:eastAsia="Arial" w:hAnsi="Arial"/>
          <w:sz w:val="22"/>
          <w:szCs w:val="22"/>
        </w:rPr>
        <w:t xml:space="preserve">Year 1–2: Construction of 20,000-person mega-community begins.</w:t>
      </w:r>
    </w:p>
    <w:p>
      <w:pPr>
        <w:pStyle w:val="ListParagraph"/>
        <w:numPr>
          <w:ilvl w:val="0"/>
          <w:numId w:val="2"/>
        </w:numPr>
        <w:spacing w:after="120" w:line="300"/>
      </w:pPr>
      <w:r>
        <w:rPr>
          <w:rFonts w:ascii="Arial" w:cs="Arial" w:eastAsia="Arial" w:hAnsi="Arial"/>
          <w:sz w:val="22"/>
          <w:szCs w:val="22"/>
        </w:rPr>
        <w:t xml:space="preserve">Year 2: First residents move in; begin paying Community Maintenance Fee.</w:t>
      </w:r>
    </w:p>
    <w:p>
      <w:pPr>
        <w:pStyle w:val="ListParagraph"/>
        <w:numPr>
          <w:ilvl w:val="0"/>
          <w:numId w:val="2"/>
        </w:numPr>
        <w:spacing w:after="120" w:line="300"/>
      </w:pPr>
      <w:r>
        <w:rPr>
          <w:rFonts w:ascii="Arial" w:cs="Arial" w:eastAsia="Arial" w:hAnsi="Arial"/>
          <w:sz w:val="22"/>
          <w:szCs w:val="22"/>
        </w:rPr>
        <w:t xml:space="preserve">Year 2–22: Resident fees repay the principal over 20 years.</w:t>
      </w:r>
    </w:p>
    <w:p>
      <w:pPr>
        <w:pStyle w:val="ListParagraph"/>
        <w:numPr>
          <w:ilvl w:val="0"/>
          <w:numId w:val="2"/>
        </w:numPr>
        <w:spacing w:after="120" w:line="300"/>
      </w:pPr>
      <w:r>
        <w:rPr>
          <w:rFonts w:ascii="Arial" w:cs="Arial" w:eastAsia="Arial" w:hAnsi="Arial"/>
          <w:sz w:val="22"/>
          <w:szCs w:val="22"/>
        </w:rPr>
        <w:t xml:space="preserve">Year 2–∞: Dividends from equity fund ongoing operations.</w:t>
      </w:r>
    </w:p>
    <w:p>
      <w:pPr>
        <w:pStyle w:val="ListParagraph"/>
        <w:numPr>
          <w:ilvl w:val="0"/>
          <w:numId w:val="2"/>
        </w:numPr>
        <w:spacing w:after="120" w:line="300"/>
      </w:pPr>
      <w:r>
        <w:rPr>
          <w:rFonts w:ascii="Arial" w:cs="Arial" w:eastAsia="Arial" w:hAnsi="Arial"/>
          <w:sz w:val="22"/>
          <w:szCs w:val="22"/>
        </w:rPr>
        <w:t xml:space="preserve">Year 5–∞: Appreciating equity funds the next community. The original equity remains in trust, compounding and funding the next community — a self-sustaining cycle.</w:t>
      </w:r>
    </w:p>
    <w:p>
      <w:pPr>
        <w:pStyle w:val="Heading2"/>
      </w:pPr>
      <w:r>
        <w:t xml:space="preserve">6.3 Leverage Scenarios: Conservative, Expected, and Optimistic</w:t>
      </w:r>
    </w:p>
    <w:p>
      <w:pPr>
        <w:spacing w:after="200" w:line="320"/>
      </w:pPr>
      <w:r>
        <w:rPr>
          <w:rFonts w:ascii="Arial" w:cs="Arial" w:eastAsia="Arial" w:hAnsi="Arial"/>
          <w:sz w:val="22"/>
          <w:szCs w:val="22"/>
        </w:rPr>
        <w:t xml:space="preserve">Cisco’s Santa Clara programme achieved a 30:1 private-to-public leverage ratio — US$130 million unlocking US$1.5 billion across 35 developments. That figure is real and documented. It is also specific to a jurisdiction with mature capital markets, federal Low Income Housing Tax Credits, and an established non-profit housing sector. Presenting 30:1 as the global baseline would misrepresent what the ARK model can reliably project. Instead, this paper models three scenarios based on differing levels of institutional infrastructure and capital market depth.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100"/>
        <w:gridCol w:w="2100"/>
        <w:gridCol w:w="2100"/>
      </w:tblGrid>
      <w:tr>
        <w:trPr>
          <w:tblHeader/>
        </w:trPr>
        <w:tc>
          <w:tcPr>
            <w:tcW w:type="dxa" w:w="24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 </w:t>
            </w:r>
          </w:p>
        </w:tc>
        <w:tc>
          <w:tcPr>
            <w:tcW w:type="dxa" w:w="21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 A — Conservative</w:t>
            </w:r>
          </w:p>
        </w:tc>
        <w:tc>
          <w:tcPr>
            <w:tcW w:type="dxa" w:w="21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 B — Expected</w:t>
            </w:r>
          </w:p>
        </w:tc>
        <w:tc>
          <w:tcPr>
            <w:tcW w:type="dxa" w:w="21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 C — Optimistic</w:t>
            </w:r>
          </w:p>
        </w:tc>
      </w:tr>
      <w:tr>
        <w:tc>
          <w:tcPr>
            <w:tcW w:type="dxa" w:w="2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Context</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Low-income jurisdictions; grant-heavy; weak DFI presence</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Mixed emerging/developed; blended DFI finance; active NGO sector</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Mature markets; Cisco-equivalent conditions; LIHTC-style incentives</w:t>
            </w:r>
          </w:p>
        </w:tc>
      </w:tr>
      <w:tr>
        <w:tc>
          <w:tcPr>
            <w:tcW w:type="dxa" w:w="2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Leverage ratio</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5:1</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15:1</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30:1</w:t>
            </w:r>
          </w:p>
        </w:tc>
      </w:tr>
      <w:tr>
        <w:tc>
          <w:tcPr>
            <w:tcW w:type="dxa" w:w="2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Collateral base (top 100 tech, 1% equity)</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US$150 billion</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US$150 billion</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US$150 billion</w:t>
            </w:r>
          </w:p>
        </w:tc>
      </w:tr>
      <w:tr>
        <w:tc>
          <w:tcPr>
            <w:tcW w:type="dxa" w:w="2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Total development capital</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~US$750 billion</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~US$2.25 trillion</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~US$4.5 trillion</w:t>
            </w:r>
          </w:p>
        </w:tc>
      </w:tr>
      <w:tr>
        <w:tc>
          <w:tcPr>
            <w:tcW w:type="dxa" w:w="2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Units at US$9,000/unit (emerging markets)</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~80 million</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~250 million</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~500 million</w:t>
            </w:r>
          </w:p>
        </w:tc>
      </w:tr>
      <w:tr>
        <w:tc>
          <w:tcPr>
            <w:tcW w:type="dxa" w:w="24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Approximate people housed</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200–320 million</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750 million–1 billion</w:t>
            </w:r>
          </w:p>
        </w:tc>
        <w:tc>
          <w:tcPr>
            <w:tcW w:type="dxa" w:w="21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1.5–2 billion</w:t>
            </w:r>
          </w:p>
        </w:tc>
      </w:tr>
      <w:tr>
        <w:tc>
          <w:tcPr>
            <w:tcW w:type="dxa" w:w="24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Precedent</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Affordable housing blended finance, Kenya/India</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IFC Housing Finance programmes</w:t>
            </w:r>
          </w:p>
        </w:tc>
        <w:tc>
          <w:tcPr>
            <w:tcW w:type="dxa" w:w="21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Cisco Santa Clara; US LIHTC programmes</w:t>
            </w:r>
          </w:p>
        </w:tc>
      </w:tr>
    </w:tbl>
    <w:p>
      <w:pPr>
        <w:spacing w:after="100"/>
      </w:pPr>
      <w:r>
        <w:t xml:space="preserve"/>
      </w:r>
    </w:p>
    <w:p>
      <w:pPr>
        <w:spacing w:after="200" w:line="320"/>
      </w:pPr>
      <w:r>
        <w:rPr>
          <w:rFonts w:ascii="Arial" w:cs="Arial" w:eastAsia="Arial" w:hAnsi="Arial"/>
          <w:sz w:val="22"/>
          <w:szCs w:val="22"/>
        </w:rPr>
        <w:t xml:space="preserve">The ARK Foundation’s pilot programme targets Scenario B conditions — jurisdictions where Development Finance Institutions are active, government land and planning cooperation is available, and NGO capacity is established. The three pilot jurisdictions (India, Nigeria, USA) span the range: India and Nigeria are closer to Scenario A–B conditions; the USA pilot may approach Scenario B–C. The headline figure of ‘hundreds of millions’ reflects Scenario B. Scenario C outcomes are possible if adoption reaches global scale under favourable conditions, but are presented here as an upper bound, not a projection.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WHAT THE SCENARIOS MEAN IN PRACTICE</w:t>
            </w:r>
          </w:p>
          <w:p>
            <w:pPr>
              <w:spacing w:line="300"/>
            </w:pPr>
            <w:r>
              <w:rPr>
                <w:rFonts w:ascii="Arial" w:cs="Arial" w:eastAsia="Arial" w:hAnsi="Arial"/>
                <w:i/>
                <w:iCs/>
                <w:sz w:val="22"/>
                <w:szCs w:val="22"/>
              </w:rPr>
              <w:t xml:space="preserve">Even Scenario A — the conservative case — would house 200 to 320 million people. That is more than the current population of Brazil. The question is not whether the ARK model can make a meaningful difference. It is what conditions determine the scale of that difference. Building those conditions — DFI relationships, enabling legislation, NGO capacity — is the primary implementation task.</w:t>
            </w:r>
          </w:p>
        </w:tc>
      </w:tr>
    </w:tbl>
    <w:p>
      <w:pPr>
        <w:spacing w:after="200" w:line="320"/>
      </w:pPr>
      <w:r>
        <w:rPr>
          <w:rFonts w:ascii="Arial" w:cs="Arial" w:eastAsia="Arial" w:hAnsi="Arial"/>
          <w:sz w:val="22"/>
          <w:szCs w:val="22"/>
        </w:rPr>
        <w:t xml:space="preserve">Emmaus communities demonstrate financial sustainability through a proven combination of social enterprise and community labor:</w:t>
      </w:r>
    </w:p>
    <w:p>
      <w:pPr>
        <w:pStyle w:val="ListParagraph"/>
        <w:numPr>
          <w:ilvl w:val="0"/>
          <w:numId w:val="2"/>
        </w:numPr>
        <w:spacing w:after="120" w:line="300"/>
      </w:pPr>
      <w:r>
        <w:rPr>
          <w:rFonts w:ascii="Arial" w:cs="Arial" w:eastAsia="Arial" w:hAnsi="Arial"/>
          <w:sz w:val="22"/>
          <w:szCs w:val="22"/>
        </w:rPr>
        <w:t xml:space="preserve">Social Enterprises: Communities run recycling, retail, and manufacturing businesses</w:t>
      </w:r>
    </w:p>
    <w:p>
      <w:pPr>
        <w:pStyle w:val="ListParagraph"/>
        <w:numPr>
          <w:ilvl w:val="0"/>
          <w:numId w:val="2"/>
        </w:numPr>
        <w:spacing w:after="120" w:line="300"/>
      </w:pPr>
      <w:r>
        <w:rPr>
          <w:rFonts w:ascii="Arial" w:cs="Arial" w:eastAsia="Arial" w:hAnsi="Arial"/>
          <w:sz w:val="22"/>
          <w:szCs w:val="22"/>
        </w:rPr>
        <w:t xml:space="preserve">Resident Labor: Companions work in the social enterprises, earning income and skills</w:t>
      </w:r>
    </w:p>
    <w:p>
      <w:pPr>
        <w:pStyle w:val="ListParagraph"/>
        <w:numPr>
          <w:ilvl w:val="0"/>
          <w:numId w:val="2"/>
        </w:numPr>
        <w:spacing w:after="120" w:line="300"/>
      </w:pPr>
      <w:r>
        <w:rPr>
          <w:rFonts w:ascii="Arial" w:cs="Arial" w:eastAsia="Arial" w:hAnsi="Arial"/>
          <w:sz w:val="22"/>
          <w:szCs w:val="22"/>
        </w:rPr>
        <w:t xml:space="preserve">Public Savings: Each community generates over £800,000 in annual public spending savings</w:t>
      </w:r>
    </w:p>
    <w:p>
      <w:pPr>
        <w:pStyle w:val="ListParagraph"/>
        <w:numPr>
          <w:ilvl w:val="0"/>
          <w:numId w:val="2"/>
        </w:numPr>
        <w:spacing w:after="120" w:line="300"/>
      </w:pPr>
      <w:r>
        <w:rPr>
          <w:rFonts w:ascii="Arial" w:cs="Arial" w:eastAsia="Arial" w:hAnsi="Arial"/>
          <w:sz w:val="22"/>
          <w:szCs w:val="22"/>
        </w:rPr>
        <w:t xml:space="preserve">Zero Government Funding: Many Emmaus communities operate without government support</w:t>
      </w:r>
    </w:p>
    <w:p>
      <w:pPr>
        <w:spacing w:after="200" w:line="320"/>
      </w:pPr>
      <w:r>
        <w:rPr>
          <w:rFonts w:ascii="Arial" w:cs="Arial" w:eastAsia="Arial" w:hAnsi="Arial"/>
          <w:sz w:val="22"/>
          <w:szCs w:val="22"/>
        </w:rPr>
        <w:t xml:space="preserve">The ARK Model would combine: the economic sustainability of Emmaus, the scale of Cisco’s catalytic funding, the construction efficiency of Moladi, and the green design of Article 25.</w:t>
      </w:r>
    </w:p>
    <w:p>
      <w:pPr>
        <w:pStyle w:val="Heading2"/>
      </w:pPr>
      <w:r>
        <w:t xml:space="preserve">6.5 The Cost of Inaction vs. The Cost of Action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500"/>
      </w:tblGrid>
      <w:tr>
        <w:trPr>
          <w:tblHeader/>
        </w:trPr>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Scenario</w:t>
            </w:r>
          </w:p>
        </w:tc>
        <w:tc>
          <w:tcPr>
            <w:tcW w:type="dxa" w:w="40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Cost</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Outcome</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Do Nothing</w:t>
            </w:r>
          </w:p>
        </w:tc>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US$3–5 trillion annually in lost productivity, healthcare, and social costs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3.4 billion continue to suffer</w:t>
            </w:r>
          </w:p>
        </w:tc>
      </w:tr>
      <w:tr>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The ARK Model (Scenario A–C)</w:t>
            </w:r>
          </w:p>
        </w:tc>
        <w:tc>
          <w:tcPr>
            <w:tcW w:type="dxa" w:w="40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US$750 billion–US$4.5 trillion (leveraged from equity, depending on jurisdiction)</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200 million to 2 billion housed depending on leverage conditions; self-sustaining communities</w:t>
            </w:r>
          </w:p>
        </w:tc>
      </w:tr>
      <w:tr>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Net Benefit</w:t>
            </w:r>
          </w:p>
        </w:tc>
        <w:tc>
          <w:tcPr>
            <w:tcW w:type="dxa" w:w="40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US$3–5 trillion annually in savings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Positive ROI within 1–2 years</w:t>
            </w:r>
          </w:p>
        </w:tc>
      </w:tr>
    </w:tbl>
    <w:p>
      <w:pPr>
        <w:spacing w:after="200"/>
      </w:pPr>
      <w:r>
        <w:t xml:space="preserve"/>
      </w:r>
    </w:p>
    <w:p>
      <w:pPr>
        <w:pStyle w:val="Heading2"/>
      </w:pPr>
      <w:r>
        <w:t xml:space="preserve">6.6 Risk Analysis: Stress-Testing the Model</w:t>
      </w:r>
    </w:p>
    <w:p>
      <w:pPr>
        <w:spacing w:after="200" w:line="320"/>
      </w:pPr>
      <w:r>
        <w:rPr>
          <w:rFonts w:ascii="Arial" w:cs="Arial" w:eastAsia="Arial" w:hAnsi="Arial"/>
          <w:sz w:val="22"/>
          <w:szCs w:val="22"/>
        </w:rPr>
        <w:t xml:space="preserve">Any serious financial proposal requires explicit stress-testing. The following scenarios represent the most likely challenges the ARK model would face in practice, and the mitigation strategy for each.</w:t>
      </w:r>
    </w:p>
    <w:p>
      <w:pPr>
        <w:spacing w:after="200" w:line="320"/>
      </w:pPr>
      <w:r>
        <w:rPr>
          <w:rFonts w:ascii="Arial" w:cs="Arial" w:eastAsia="Arial" w:hAnsi="Arial"/>
          <w:b/>
          <w:bCs/>
          <w:sz w:val="22"/>
          <w:szCs w:val="22"/>
        </w:rPr>
        <w:t xml:space="preserve">Scenario 1: Market Recession — Equity Value Falls 40–70%</w:t>
      </w:r>
    </w:p>
    <w:p>
      <w:pPr>
        <w:spacing w:after="200" w:line="320"/>
      </w:pPr>
      <w:r>
        <w:rPr>
          <w:rFonts w:ascii="Arial" w:cs="Arial" w:eastAsia="Arial" w:hAnsi="Arial"/>
          <w:sz w:val="22"/>
          <w:szCs w:val="22"/>
        </w:rPr>
        <w:t xml:space="preserve">A sustained market downturn reduces the collateral value of pledged equity, potentially triggering margin calls on Social Impact Loans and reducing dividend income simultaneously. Mitigation: the ARK model requires a minimum 18-month operating cash reserve drawn from dividends before any community begins construction; loan-to-value ratios are capped at 40% of equity value (not 70-80% as in commercial real estate), providing a buffer before collateral calls; and the diversification across 20,000+ pledging companies means no single stock collapse can break the fund. Historical data: the S&amp;P 500 has never recorded a sustained 70% decline without recovery within 5-7 years, which is within the model’s 20-year loan repayment horizon.</w:t>
      </w:r>
    </w:p>
    <w:p>
      <w:pPr>
        <w:spacing w:after="200" w:line="320"/>
      </w:pPr>
      <w:r>
        <w:rPr>
          <w:rFonts w:ascii="Arial" w:cs="Arial" w:eastAsia="Arial" w:hAnsi="Arial"/>
          <w:b/>
          <w:bCs/>
          <w:sz w:val="22"/>
          <w:szCs w:val="22"/>
        </w:rPr>
        <w:t xml:space="preserve">Scenario 2: Dividend Income Disappears</w:t>
      </w:r>
    </w:p>
    <w:p>
      <w:pPr>
        <w:spacing w:after="200" w:line="320"/>
      </w:pPr>
      <w:r>
        <w:rPr>
          <w:rFonts w:ascii="Arial" w:cs="Arial" w:eastAsia="Arial" w:hAnsi="Arial"/>
          <w:sz w:val="22"/>
          <w:szCs w:val="22"/>
        </w:rPr>
        <w:t xml:space="preserve">If pledging companies cut dividends — as many did during 2008 and 2020 — the ongoing operational budget is at risk. Mitigation: resident Community Maintenance Fees (as low as US$20/month) are designed to cover 60-80% of operational costs independently of dividend income. The dividend stream is a supplement, not the primary funding source for operations. For communities still in their first two years (pre-financial sustainability), the 18-month cash reserve provides a bridge. Communities that have reached cash-flow positive status are insulated from dividend fluctuations entirely.</w:t>
      </w:r>
    </w:p>
    <w:p>
      <w:pPr>
        <w:spacing w:after="200" w:line="320"/>
      </w:pPr>
      <w:r>
        <w:rPr>
          <w:rFonts w:ascii="Arial" w:cs="Arial" w:eastAsia="Arial" w:hAnsi="Arial"/>
          <w:b/>
          <w:bCs/>
          <w:sz w:val="22"/>
          <w:szCs w:val="22"/>
        </w:rPr>
        <w:t xml:space="preserve">Scenario 3: Interest Rates Rise Substantially</w:t>
      </w:r>
    </w:p>
    <w:p>
      <w:pPr>
        <w:spacing w:after="200" w:line="320"/>
      </w:pPr>
      <w:r>
        <w:rPr>
          <w:rFonts w:ascii="Arial" w:cs="Arial" w:eastAsia="Arial" w:hAnsi="Arial"/>
          <w:sz w:val="22"/>
          <w:szCs w:val="22"/>
        </w:rPr>
        <w:t xml:space="preserve">Rising interest rates increase the cost of Social Impact Loans from Development Finance Institutions. Mitigation: the ARK model targets 0% concessional loans from DFIs (as opposed to commercial rates), which are specifically designed to be insulated from market interest rate movements. Where commercial loans are necessary, fixed-rate structures are specified in the legal framework. A 2% rate increase on a 20-year loan increases total repayment cost by approximately 20% — significant but not fatal, particularly given the resident fee income stream.</w:t>
      </w:r>
    </w:p>
    <w:p>
      <w:pPr>
        <w:spacing w:after="200" w:line="320"/>
      </w:pPr>
      <w:r>
        <w:rPr>
          <w:rFonts w:ascii="Arial" w:cs="Arial" w:eastAsia="Arial" w:hAnsi="Arial"/>
          <w:b/>
          <w:bCs/>
          <w:sz w:val="22"/>
          <w:szCs w:val="22"/>
        </w:rPr>
        <w:t xml:space="preserve">Scenario 4: Governments Refuse Zoning or Planning Approval</w:t>
      </w:r>
    </w:p>
    <w:p>
      <w:pPr>
        <w:spacing w:after="200" w:line="320"/>
      </w:pPr>
      <w:r>
        <w:rPr>
          <w:rFonts w:ascii="Arial" w:cs="Arial" w:eastAsia="Arial" w:hAnsi="Arial"/>
          <w:sz w:val="22"/>
          <w:szCs w:val="22"/>
        </w:rPr>
        <w:t xml:space="preserve">The single largest implementation risk is not financial but regulatory. In most jurisdictions, planning approval for communities of 5,000–20,000 people requires years of process and is vulnerable to local opposition. Mitigation: the ARK model’s strategic partnership model requires governments to designate ARK pilot communities as qualifying for expedited planning approval as a condition of the enabling legislation. Pilot sites should be selected on the basis of existing government land and prior planning approval where possible. The start-small principle — beginning with 1,000–2,000 resident pilots — specifically reduces planning complexity for the initial phases.</w:t>
      </w:r>
    </w:p>
    <w:p>
      <w:pPr>
        <w:spacing w:after="200" w:line="320"/>
      </w:pPr>
      <w:r>
        <w:rPr>
          <w:rFonts w:ascii="Arial" w:cs="Arial" w:eastAsia="Arial" w:hAnsi="Arial"/>
          <w:b/>
          <w:bCs/>
          <w:sz w:val="22"/>
          <w:szCs w:val="22"/>
        </w:rPr>
        <w:t xml:space="preserve">Scenario 5: NGO Failure or Misconduct</w:t>
      </w:r>
    </w:p>
    <w:p>
      <w:pPr>
        <w:spacing w:after="200" w:line="320"/>
      </w:pPr>
      <w:r>
        <w:rPr>
          <w:rFonts w:ascii="Arial" w:cs="Arial" w:eastAsia="Arial" w:hAnsi="Arial"/>
          <w:sz w:val="22"/>
          <w:szCs w:val="22"/>
        </w:rPr>
        <w:t xml:space="preserve">A national implementing NGO could fail financially, be compromised by corruption, or simply lack capacity to manage at scale. Mitigation: the phased equity transfer structure means that only 25% of committed equity is transferred to a new implementing partner before its first performance review. The Board of Guardians has explicit authority to redirect equity to a replacement NGO in the event of implementing partner failure. The public registry and annual audit requirements mean that governance failures are visible before they become catastrophic. The “One Nation, One NGO” structure is deliberately designed to be replaceable — it is not a monopoly but a designated partner with revocable status.</w:t>
      </w:r>
    </w:p>
    <w:p>
      <w:pPr>
        <w:spacing w:after="200" w:line="320"/>
      </w:pPr>
      <w:r>
        <w:rPr>
          <w:rFonts w:ascii="Arial" w:cs="Arial" w:eastAsia="Arial" w:hAnsi="Arial"/>
          <w:b/>
          <w:bCs/>
          <w:sz w:val="22"/>
          <w:szCs w:val="22"/>
        </w:rPr>
        <w:t xml:space="preserve">Scenario 6: Technology Companies Lose Equity Value Entirely (Bankruptcy)</w:t>
      </w:r>
    </w:p>
    <w:p>
      <w:pPr>
        <w:spacing w:after="200" w:line="320"/>
      </w:pPr>
      <w:r>
        <w:rPr>
          <w:rFonts w:ascii="Arial" w:cs="Arial" w:eastAsia="Arial" w:hAnsi="Arial"/>
          <w:sz w:val="22"/>
          <w:szCs w:val="22"/>
        </w:rPr>
        <w:t xml:space="preserve">If a pledging company goes bankrupt, the equity stake transferred to the NGO could become worthless. Mitigation: the diversification requirement means that no single company’s equity constitutes more than 5% of any community’s collateral base. Equity is held as endowment — never sold — meaning that temporary value declines do not trigger losses. Permanent loss of value from bankruptcy would reduce the endowment base but would not eliminate it given diversification. The operational model’s primary funding source (resident fees) is not affected by equity market events.</w:t>
      </w:r>
    </w:p>
    <w:p>
      <w:pPr>
        <w:pStyle w:val="Heading2"/>
      </w:pPr>
      <w:r>
        <w:t xml:space="preserve">6.7 Implementation Roadmap</w:t>
      </w:r>
    </w:p>
    <w:p>
      <w:pPr>
        <w:pStyle w:val="Heading2"/>
      </w:pPr>
      <w:r>
        <w:t xml:space="preserve">6.7.0 Start Small: The Pilot Learning Principle</w:t>
      </w:r>
    </w:p>
    <w:p>
      <w:pPr>
        <w:spacing w:after="200" w:line="320"/>
      </w:pPr>
      <w:r>
        <w:rPr>
          <w:rFonts w:ascii="Arial" w:cs="Arial" w:eastAsia="Arial" w:hAnsi="Arial"/>
          <w:sz w:val="22"/>
          <w:szCs w:val="22"/>
        </w:rPr>
        <w:t xml:space="preserve">The reviewer’s most important practical observation: start with 1,000-person communities, not 20,000. The ARK model’s financial efficiency improves with scale, but operational learning requires starting smaller. Phase 1 pilots will be 1,000–2,000 residents. Only after demonstrated success — defined as 24 months of stable operations, positive resident outcomes, and solvent finances — will Phase 2 pilots scale to 5,000–10,000. The 20,000-resident model is the long-term target, not the starting point.</w:t>
      </w:r>
    </w:p>
    <w:p>
      <w:pPr>
        <w:pStyle w:val="Heading2"/>
      </w:pPr>
      <w:r>
        <w:t xml:space="preserve">6.7.1 Phase 1: The “Big Bet” Coalition (Year 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500"/>
      </w:tblGrid>
      <w:tr>
        <w:trPr>
          <w:tblHeader/>
        </w:trPr>
        <w:tc>
          <w:tcPr>
            <w:tcW w:type="dxa" w:w="6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Action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Timeline</w:t>
            </w:r>
          </w:p>
        </w:tc>
      </w:tr>
      <w:tr>
        <w:tc>
          <w:tcPr>
            <w:tcW w:type="dxa" w:w="6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Secure 5–10 major tech anchors to sign the “ARK Pledge”</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Q1–Q2</w:t>
            </w:r>
          </w:p>
        </w:tc>
      </w:tr>
      <w:tr>
        <w:tc>
          <w:tcPr>
            <w:tcW w:type="dxa" w:w="6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Establish global legal framework for cross-border equity transfers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Q1–Q3</w:t>
            </w:r>
          </w:p>
        </w:tc>
      </w:tr>
      <w:tr>
        <w:tc>
          <w:tcPr>
            <w:tcW w:type="dxa" w:w="6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Identify and vet one implementing NGO per priority country</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Q2–Q4</w:t>
            </w:r>
          </w:p>
        </w:tc>
      </w:tr>
      <w:tr>
        <w:tc>
          <w:tcPr>
            <w:tcW w:type="dxa" w:w="6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Adapt Pledge 1% legal templates for housing-specific equity pledges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Q3–Q4</w:t>
            </w:r>
          </w:p>
        </w:tc>
      </w:tr>
      <w:tr>
        <w:tc>
          <w:tcPr>
            <w:tcW w:type="dxa" w:w="6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Secure legislative exemptions for charitable equity transfers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Q3–Q4</w:t>
            </w:r>
          </w:p>
        </w:tc>
      </w:tr>
    </w:tbl>
    <w:p>
      <w:pPr>
        <w:spacing w:after="100"/>
      </w:pPr>
      <w:r>
        <w:t xml:space="preserve"/>
      </w:r>
    </w:p>
    <w:p>
      <w:pPr>
        <w:pStyle w:val="Heading2"/>
      </w:pPr>
      <w:r>
        <w:t xml:space="preserve">6.7.2 Phase 2: Pilot Mega-Communities (Year 2–3)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500"/>
        <w:gridCol w:w="2500"/>
      </w:tblGrid>
      <w:tr>
        <w:trPr>
          <w:tblHeader/>
        </w:trPr>
        <w:tc>
          <w:tcPr>
            <w:tcW w:type="dxa" w:w="6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Action</w:t>
            </w:r>
          </w:p>
        </w:tc>
        <w:tc>
          <w:tcPr>
            <w:tcW w:type="dxa" w:w="2500"/>
            <w:tcBorders>
              <w:top w:val="single" w:color="D4D0C8" w:sz="4"/>
              <w:left w:val="single" w:color="D4D0C8" w:sz="4"/>
              <w:bottom w:val="single" w:color="D4D0C8" w:sz="4"/>
              <w:right w:val="single" w:color="D4D0C8" w:sz="4"/>
            </w:tcBorders>
            <w:shd w:fill="0A2540" w:val="clear"/>
            <w:tcMar>
              <w:top w:type="dxa" w:w="100"/>
              <w:left w:type="dxa" w:w="140"/>
              <w:bottom w:type="dxa" w:w="100"/>
              <w:right w:type="dxa" w:w="140"/>
            </w:tcMar>
            <w:vAlign w:val="center"/>
          </w:tcPr>
          <w:p>
            <w:r>
              <w:rPr>
                <w:rFonts w:ascii="Arial" w:cs="Arial" w:eastAsia="Arial" w:hAnsi="Arial"/>
                <w:b/>
                <w:bCs/>
                <w:color w:val="FFFFFF"/>
                <w:sz w:val="18"/>
                <w:szCs w:val="18"/>
              </w:rPr>
              <w:t xml:space="preserve">Timeline</w:t>
            </w:r>
          </w:p>
        </w:tc>
      </w:tr>
      <w:tr>
        <w:tc>
          <w:tcPr>
            <w:tcW w:type="dxa" w:w="6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Launch 3 pilot communities (India, Nigeria, USA)</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Year 2, Q1</w:t>
            </w:r>
          </w:p>
        </w:tc>
      </w:tr>
      <w:tr>
        <w:tc>
          <w:tcPr>
            <w:tcW w:type="dxa" w:w="6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Standardize “ARK Blueprints” for 5,000/10,000/20,000 models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Year 2, Q2–Q3</w:t>
            </w:r>
          </w:p>
        </w:tc>
      </w:tr>
      <w:tr>
        <w:tc>
          <w:tcPr>
            <w:tcW w:type="dxa" w:w="6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Use 3D-printing construction tech to reduce build time</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Year 2, Q4</w:t>
            </w:r>
          </w:p>
        </w:tc>
      </w:tr>
      <w:tr>
        <w:tc>
          <w:tcPr>
            <w:tcW w:type="dxa" w:w="6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Move in first residents</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Year 3, Q1–Q2</w:t>
            </w:r>
          </w:p>
        </w:tc>
      </w:tr>
      <w:tr>
        <w:tc>
          <w:tcPr>
            <w:tcW w:type="dxa" w:w="6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Establish Resident Councils and self-governance structures</w:t>
            </w:r>
          </w:p>
        </w:tc>
        <w:tc>
          <w:tcPr>
            <w:tcW w:type="dxa" w:w="2500"/>
            <w:tcBorders>
              <w:top w:val="single" w:color="D4D0C8" w:sz="4"/>
              <w:left w:val="single" w:color="D4D0C8" w:sz="4"/>
              <w:bottom w:val="single" w:color="D4D0C8" w:sz="4"/>
              <w:right w:val="single" w:color="D4D0C8" w:sz="4"/>
            </w:tcBorders>
            <w:shd w:fill="FAF8F2" w:val="clear"/>
            <w:tcMar>
              <w:top w:type="dxa" w:w="100"/>
              <w:left w:type="dxa" w:w="140"/>
              <w:bottom w:type="dxa" w:w="100"/>
              <w:right w:type="dxa" w:w="140"/>
            </w:tcMar>
            <w:vAlign w:val="center"/>
          </w:tcPr>
          <w:p>
            <w:r>
              <w:rPr>
                <w:rFonts w:ascii="Arial" w:cs="Arial" w:eastAsia="Arial" w:hAnsi="Arial"/>
                <w:sz w:val="18"/>
                <w:szCs w:val="18"/>
              </w:rPr>
              <w:t xml:space="preserve">Year 3, Q3–Q4</w:t>
            </w:r>
          </w:p>
        </w:tc>
      </w:tr>
      <w:tr>
        <w:tc>
          <w:tcPr>
            <w:tcW w:type="dxa" w:w="6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Implement Emmaus-style positive approaches training for all staff</w:t>
            </w:r>
          </w:p>
        </w:tc>
        <w:tc>
          <w:tcPr>
            <w:tcW w:type="dxa" w:w="2500"/>
            <w:tcBorders>
              <w:top w:val="single" w:color="D4D0C8" w:sz="4"/>
              <w:left w:val="single" w:color="D4D0C8" w:sz="4"/>
              <w:bottom w:val="single" w:color="D4D0C8" w:sz="4"/>
              <w:right w:val="single" w:color="D4D0C8" w:sz="4"/>
            </w:tcBorders>
            <w:shd w:fill="F3F0E8" w:val="clear"/>
            <w:tcMar>
              <w:top w:type="dxa" w:w="100"/>
              <w:left w:type="dxa" w:w="140"/>
              <w:bottom w:type="dxa" w:w="100"/>
              <w:right w:type="dxa" w:w="140"/>
            </w:tcMar>
            <w:vAlign w:val="center"/>
          </w:tcPr>
          <w:p>
            <w:r>
              <w:rPr>
                <w:rFonts w:ascii="Arial" w:cs="Arial" w:eastAsia="Arial" w:hAnsi="Arial"/>
                <w:sz w:val="18"/>
                <w:szCs w:val="18"/>
              </w:rPr>
              <w:t xml:space="preserve">Year 3, Q4</w:t>
            </w:r>
          </w:p>
        </w:tc>
      </w:tr>
    </w:tbl>
    <w:p>
      <w:pPr>
        <w:spacing w:after="100"/>
      </w:pPr>
      <w:r>
        <w:t xml:space="preserve"/>
      </w:r>
    </w:p>
    <w:p>
      <w:pPr>
        <w:pStyle w:val="Heading2"/>
      </w:pPr>
      <w:r>
        <w:t xml:space="preserve">6.7.3 Phase 3: Scaled Expansion (Year 4–10)</w:t>
      </w:r>
    </w:p>
    <w:p>
      <w:pPr>
        <w:spacing w:after="200" w:line="320"/>
      </w:pPr>
      <w:r>
        <w:rPr>
          <w:rFonts w:ascii="Arial" w:cs="Arial" w:eastAsia="Arial" w:hAnsi="Arial"/>
          <w:sz w:val="22"/>
          <w:szCs w:val="22"/>
        </w:rPr>
        <w:t xml:space="preserve">A note on timeline realism: scaling to 195 countries in 4–7 years is an aspirational target, not an operational guarantee. Real-world housing programmes of comparable ambition — including Singapore’s HDB and India’s Pradhan Mantri Awas Yojana — took decades to reach scale. The ARK model’s advantage is that it works in parallel across multiple jurisdictions rather than sequentially, but regulatory environments, land availability, and NGO capacity will vary enormously. The targets below represent success scenarios, not projections.</w:t>
      </w:r>
    </w:p>
    <w:p>
      <w:pPr>
        <w:pStyle w:val="ListParagraph"/>
        <w:numPr>
          <w:ilvl w:val="0"/>
          <w:numId w:val="2"/>
        </w:numPr>
        <w:spacing w:after="120" w:line="300"/>
      </w:pPr>
      <w:r>
        <w:rPr>
          <w:rFonts w:ascii="Arial" w:cs="Arial" w:eastAsia="Arial" w:hAnsi="Arial"/>
          <w:sz w:val="22"/>
          <w:szCs w:val="22"/>
        </w:rPr>
        <w:t xml:space="preserve">Year 4–7: Expand to 20–30 priority countries based on pilot learnings, regulatory readiness, and NGO capacity.</w:t>
      </w:r>
    </w:p>
    <w:p>
      <w:pPr>
        <w:pStyle w:val="ListParagraph"/>
        <w:numPr>
          <w:ilvl w:val="0"/>
          <w:numId w:val="2"/>
        </w:numPr>
        <w:spacing w:after="120" w:line="300"/>
      </w:pPr>
      <w:r>
        <w:rPr>
          <w:rFonts w:ascii="Arial" w:cs="Arial" w:eastAsia="Arial" w:hAnsi="Arial"/>
          <w:sz w:val="22"/>
          <w:szCs w:val="22"/>
        </w:rPr>
        <w:t xml:space="preserve">Year 8: Achieve measurable reduction in chronic homelessness in participating cities; independent evaluation determines scale-up decisions.</w:t>
      </w:r>
    </w:p>
    <w:p>
      <w:pPr>
        <w:pStyle w:val="ListParagraph"/>
        <w:numPr>
          <w:ilvl w:val="0"/>
          <w:numId w:val="2"/>
        </w:numPr>
        <w:spacing w:after="120" w:line="300"/>
      </w:pPr>
      <w:r>
        <w:rPr>
          <w:rFonts w:ascii="Arial" w:cs="Arial" w:eastAsia="Arial" w:hAnsi="Arial"/>
          <w:sz w:val="22"/>
          <w:szCs w:val="22"/>
        </w:rPr>
        <w:t xml:space="preserve">Year 10: The ARK Foundation operational in 50+ countries, with evidence base sufficient to make the case for global adoption.</w:t>
      </w:r>
    </w:p>
    <w:p>
      <w:pPr>
        <w:pStyle w:val="Heading2"/>
      </w:pPr>
      <w:r>
        <w:t xml:space="preserve">6.7.4 Critical Success Factors</w:t>
      </w:r>
    </w:p>
    <w:p>
      <w:pPr>
        <w:pStyle w:val="ListParagraph"/>
        <w:numPr>
          <w:ilvl w:val="0"/>
          <w:numId w:val="2"/>
        </w:numPr>
        <w:spacing w:after="120" w:line="300"/>
      </w:pPr>
      <w:r>
        <w:rPr>
          <w:rFonts w:ascii="Arial" w:cs="Arial" w:eastAsia="Arial" w:hAnsi="Arial"/>
          <w:sz w:val="22"/>
          <w:szCs w:val="22"/>
        </w:rPr>
        <w:t xml:space="preserve">Tech Sector Commitment: Without the 1% equity pledge, the model cannot scale.</w:t>
      </w:r>
    </w:p>
    <w:p>
      <w:pPr>
        <w:pStyle w:val="ListParagraph"/>
        <w:numPr>
          <w:ilvl w:val="0"/>
          <w:numId w:val="2"/>
        </w:numPr>
        <w:spacing w:after="120" w:line="300"/>
      </w:pPr>
      <w:r>
        <w:rPr>
          <w:rFonts w:ascii="Arial" w:cs="Arial" w:eastAsia="Arial" w:hAnsi="Arial"/>
          <w:sz w:val="22"/>
          <w:szCs w:val="22"/>
        </w:rPr>
        <w:t xml:space="preserve">NGO Capacity Building: NGOs must be supported to scale their operations.</w:t>
      </w:r>
    </w:p>
    <w:p>
      <w:pPr>
        <w:pStyle w:val="ListParagraph"/>
        <w:numPr>
          <w:ilvl w:val="0"/>
          <w:numId w:val="2"/>
        </w:numPr>
        <w:spacing w:after="120" w:line="300"/>
      </w:pPr>
      <w:r>
        <w:rPr>
          <w:rFonts w:ascii="Arial" w:cs="Arial" w:eastAsia="Arial" w:hAnsi="Arial"/>
          <w:sz w:val="22"/>
          <w:szCs w:val="22"/>
        </w:rPr>
        <w:t xml:space="preserve">Legislative Reform: Governments must exempt charitable equity transfers from taxation.</w:t>
      </w:r>
    </w:p>
    <w:p>
      <w:pPr>
        <w:pStyle w:val="ListParagraph"/>
        <w:numPr>
          <w:ilvl w:val="0"/>
          <w:numId w:val="2"/>
        </w:numPr>
        <w:spacing w:after="120" w:line="300"/>
      </w:pPr>
      <w:r>
        <w:rPr>
          <w:rFonts w:ascii="Arial" w:cs="Arial" w:eastAsia="Arial" w:hAnsi="Arial"/>
          <w:sz w:val="22"/>
          <w:szCs w:val="22"/>
        </w:rPr>
        <w:t xml:space="preserve">Public Support: Citizens must demand accountability from tech companies.</w:t>
      </w:r>
    </w:p>
    <w:p>
      <w:pPr>
        <w:pStyle w:val="ListParagraph"/>
        <w:numPr>
          <w:ilvl w:val="0"/>
          <w:numId w:val="2"/>
        </w:numPr>
        <w:spacing w:after="120" w:line="300"/>
      </w:pPr>
      <w:r>
        <w:rPr>
          <w:rFonts w:ascii="Arial" w:cs="Arial" w:eastAsia="Arial" w:hAnsi="Arial"/>
          <w:sz w:val="22"/>
          <w:szCs w:val="22"/>
        </w:rPr>
        <w:t xml:space="preserve">Independent Oversight: The Board of Guardians must be robust and independent.</w:t>
      </w:r>
    </w:p>
    <w:p>
      <w:pPr>
        <w:spacing w:after="200"/>
      </w:pPr>
      <w:r>
        <w:t xml:space="preserve"/>
      </w:r>
    </w:p>
    <w:p>
      <w:pPr>
        <w:pStyle w:val="Heading1"/>
      </w:pPr>
      <w:r>
        <w:t xml:space="preserve">7. The ARK Pledge: From Proposal to Practice</w:t>
      </w:r>
    </w:p>
    <w:p>
      <w:pPr>
        <w:pStyle w:val="Heading2"/>
      </w:pPr>
      <w:r>
        <w:t xml:space="preserve">7.1 What the Evidence Shows</w:t>
      </w:r>
    </w:p>
    <w:p>
      <w:pPr>
        <w:spacing w:after="200" w:line="320"/>
      </w:pPr>
      <w:r>
        <w:rPr>
          <w:rFonts w:ascii="Arial" w:cs="Arial" w:eastAsia="Arial" w:hAnsi="Arial"/>
          <w:sz w:val="22"/>
          <w:szCs w:val="22"/>
        </w:rPr>
        <w:t xml:space="preserve">The ARK Foundation rests on three empirical pillars. First: the Pledge 1% movement has demonstrated that technology companies will make equity commitments when the mechanism is well-designed — 20,000 companies across 130 countries, US$3.2 billion mobilized, with no evidence that pledging harmed business performance. Second: Cisco’s housing investment demonstrated that private catalytic capital can unlock public and institutional funding at scale — US$130 million becoming US$1.5 billion at a 30:1 ratio, in a single county over six years. Third: Emmaus communities have demonstrated that resident self-governance produces financially sustainable, socially stable housing without government operational control — across 37 countries, for more than 70 years.</w:t>
      </w:r>
    </w:p>
    <w:p>
      <w:pPr>
        <w:spacing w:after="200" w:line="320"/>
      </w:pPr>
      <w:r>
        <w:rPr>
          <w:rFonts w:ascii="Arial" w:cs="Arial" w:eastAsia="Arial" w:hAnsi="Arial"/>
          <w:sz w:val="22"/>
          <w:szCs w:val="22"/>
        </w:rPr>
        <w:t xml:space="preserve">These are not analogies. They are precedents. The ARK model does not ask technology companies, NGOs, or governments to do anything that has not already been done. It asks them to do it at scale, in coordination, with a common legal framework.</w:t>
      </w:r>
    </w:p>
    <w:p>
      <w:pPr>
        <w:pStyle w:val="Heading2"/>
      </w:pPr>
      <w:r>
        <w:t xml:space="preserve">7.2 Three Specific Commitments Required</w:t>
      </w:r>
    </w:p>
    <w:p>
      <w:pPr>
        <w:spacing w:after="200" w:line="320"/>
      </w:pPr>
      <w:r>
        <w:rPr>
          <w:rFonts w:ascii="Arial" w:cs="Arial" w:eastAsia="Arial" w:hAnsi="Arial"/>
          <w:sz w:val="22"/>
          <w:szCs w:val="22"/>
        </w:rPr>
        <w:t xml:space="preserve">This paper concludes with three specific, actionable commitments — not aspirational calls to action, but three concrete steps that can begin in 2026.</w:t>
      </w:r>
    </w:p>
    <w:p>
      <w:pPr>
        <w:spacing w:after="200" w:line="320"/>
      </w:pPr>
      <w:r>
        <w:rPr>
          <w:rFonts w:ascii="Arial" w:cs="Arial" w:eastAsia="Arial" w:hAnsi="Arial"/>
          <w:b/>
          <w:bCs/>
          <w:sz w:val="22"/>
          <w:szCs w:val="22"/>
        </w:rPr>
        <w:t xml:space="preserve">Commitment 1: Ten founding companies sign the ARK Pledge by Q4 2026.</w:t>
      </w:r>
    </w:p>
    <w:p>
      <w:pPr>
        <w:spacing w:after="200" w:line="320"/>
      </w:pPr>
      <w:r>
        <w:rPr>
          <w:rFonts w:ascii="Arial" w:cs="Arial" w:eastAsia="Arial" w:hAnsi="Arial"/>
          <w:sz w:val="22"/>
          <w:szCs w:val="22"/>
        </w:rPr>
        <w:t xml:space="preserve">Ten mid-tier technology companies (market cap US$10–50 billion each) committing 1% of equity generates approximately US$1.5–7.5 billion in collateral value — sufficient to capitalise three pilot communities at Tier 3 scale (5,000–10,000 residents each). The Pledge 1% infrastructure already exists to facilitate this. What is needed is a housing-specific legal template, which this paper’s implementation roadmap provides.</w:t>
      </w:r>
    </w:p>
    <w:p>
      <w:pPr>
        <w:spacing w:after="200" w:line="320"/>
      </w:pPr>
      <w:r>
        <w:rPr>
          <w:rFonts w:ascii="Arial" w:cs="Arial" w:eastAsia="Arial" w:hAnsi="Arial"/>
          <w:b/>
          <w:bCs/>
          <w:sz w:val="22"/>
          <w:szCs w:val="22"/>
        </w:rPr>
        <w:t xml:space="preserve">Commitment 2: Three pilot NGOs accept the first equity transfers and begin site selection by Q2 2027.</w:t>
      </w:r>
    </w:p>
    <w:p>
      <w:pPr>
        <w:spacing w:after="200" w:line="320"/>
      </w:pPr>
      <w:r>
        <w:rPr>
          <w:rFonts w:ascii="Arial" w:cs="Arial" w:eastAsia="Arial" w:hAnsi="Arial"/>
          <w:sz w:val="22"/>
          <w:szCs w:val="22"/>
        </w:rPr>
        <w:t xml:space="preserve">Tata Trusts (India), Habitat for Humanity International (USA), and Family Homes Funds Ltd (Nigeria) are the proposed first implementing partners. Each has demonstrated capacity at scale, existing government relationships, and institutional infrastructure to absorb and manage equity endowments. Construction begins no later than Q4 2027. First residents move in by Q2 2029.</w:t>
      </w:r>
    </w:p>
    <w:p>
      <w:pPr>
        <w:spacing w:after="200" w:line="320"/>
      </w:pPr>
      <w:r>
        <w:rPr>
          <w:rFonts w:ascii="Arial" w:cs="Arial" w:eastAsia="Arial" w:hAnsi="Arial"/>
          <w:b/>
          <w:bCs/>
          <w:sz w:val="22"/>
          <w:szCs w:val="22"/>
        </w:rPr>
        <w:t xml:space="preserve">Commitment 3: Governments in all three pilot jurisdictions pass enabling legislation for charitable equity transfers by Q3 2027.</w:t>
      </w:r>
    </w:p>
    <w:p>
      <w:pPr>
        <w:spacing w:after="200" w:line="320"/>
      </w:pPr>
      <w:r>
        <w:rPr>
          <w:rFonts w:ascii="Arial" w:cs="Arial" w:eastAsia="Arial" w:hAnsi="Arial"/>
          <w:sz w:val="22"/>
          <w:szCs w:val="22"/>
        </w:rPr>
        <w:t xml:space="preserve">The legislative requirement is narrow: an exemption from capital gains tax for equity transferred to a registered housing charity under the ARK framework, and a designation of ARK communities as qualifying for expedited planning approval. This is the minimum government action required — enabling the private mechanism to operate, not controlling it.</w:t>
      </w:r>
    </w:p>
    <w:p>
      <w:pPr>
        <w:pStyle w:val="Heading2"/>
      </w:pPr>
      <w:r>
        <w:t xml:space="preserve">7.3 What Success Looks Like in Year 5</w:t>
      </w:r>
    </w:p>
    <w:p>
      <w:pPr>
        <w:spacing w:after="200" w:line="320"/>
      </w:pPr>
      <w:r>
        <w:rPr>
          <w:rFonts w:ascii="Arial" w:cs="Arial" w:eastAsia="Arial" w:hAnsi="Arial"/>
          <w:sz w:val="22"/>
          <w:szCs w:val="22"/>
        </w:rPr>
        <w:t xml:space="preserve">By 2031, if the three commitments above are met, the following should be measurable: three pilot communities operational, housing between 15,000 and 30,000 residents; resident fee income covering 60–80% of operational costs; dividend income covering the remainder; at least one community cash-flow positive; at least five additional companies signed; and independent evaluation data sufficient to make the case for expansion to a second tier of 10–15 countries.</w:t>
      </w:r>
    </w:p>
    <w:p>
      <w:pPr>
        <w:spacing w:after="200" w:line="320"/>
      </w:pPr>
      <w:r>
        <w:rPr>
          <w:rFonts w:ascii="Arial" w:cs="Arial" w:eastAsia="Arial" w:hAnsi="Arial"/>
          <w:sz w:val="22"/>
          <w:szCs w:val="22"/>
        </w:rPr>
        <w:t xml:space="preserve">These are not aspirational targets. They are the minimum outputs required to justify the model’s scalability claims. If the pilots do not achieve financial sustainability within five years, the model requires revision before expansion. If they do, the evidence base exists for a substantially larger commitment.</w:t>
      </w:r>
    </w:p>
    <w:p>
      <w:pPr>
        <w:pStyle w:val="Heading2"/>
      </w:pPr>
      <w:r>
        <w:t xml:space="preserve">7.4 The Honest Accounting</w:t>
      </w:r>
    </w:p>
    <w:p>
      <w:pPr>
        <w:spacing w:after="200" w:line="320"/>
      </w:pPr>
      <w:r>
        <w:rPr>
          <w:rFonts w:ascii="Arial" w:cs="Arial" w:eastAsia="Arial" w:hAnsi="Arial"/>
          <w:sz w:val="22"/>
          <w:szCs w:val="22"/>
        </w:rPr>
        <w:t xml:space="preserve">This paper has argued that the equity-based housing model is viable. It has also acknowledged, in the preceding sections, that it is not simple. Construction costs in developed economies are 3–5 times higher than the emerging-market baseline. Market downturns can reduce equity collateral. Scaling to 195 countries in four years is aspirational, not operational. Government cooperation is required even where political control is not. The Board of Guardians requires genuine independence to work.</w:t>
      </w:r>
    </w:p>
    <w:p>
      <w:pPr>
        <w:spacing w:after="200" w:line="320"/>
      </w:pPr>
      <w:r>
        <w:rPr>
          <w:rFonts w:ascii="Arial" w:cs="Arial" w:eastAsia="Arial" w:hAnsi="Arial"/>
          <w:sz w:val="22"/>
          <w:szCs w:val="22"/>
        </w:rPr>
        <w:t xml:space="preserve">None of these complications are fatal. They are implementation challenges for a model with demonstrated precedent. The Pledge 1% movement overcame similar adoption challenges. Cisco’s programme overcame similar leverage challenges. Emmaus overcame similar governance challenges. The ARK Foundation’s task is to learn from those precedents and apply them at greater scale.</w:t>
      </w:r>
    </w:p>
    <w:p>
      <w:pPr>
        <w:spacing w:after="200" w:line="320"/>
      </w:pPr>
      <w:r>
        <w:rPr>
          <w:rFonts w:ascii="Arial" w:cs="Arial" w:eastAsia="Arial" w:hAnsi="Arial"/>
          <w:sz w:val="22"/>
          <w:szCs w:val="22"/>
        </w:rPr>
        <w:t xml:space="preserve">The housing crisis will not be solved in this decade. But the mechanism that will solve it over the next three decades can be established in this one. That is what the ARK Pledge proposes. That is what the three commitments above make possible.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THE PROPOSITION</w:t>
            </w:r>
          </w:p>
          <w:p>
            <w:pPr>
              <w:spacing w:line="300"/>
            </w:pPr>
            <w:r>
              <w:rPr>
                <w:rFonts w:ascii="Arial" w:cs="Arial" w:eastAsia="Arial" w:hAnsi="Arial"/>
                <w:i/>
                <w:iCs/>
                <w:sz w:val="22"/>
                <w:szCs w:val="22"/>
              </w:rPr>
              <w:t xml:space="preserve">1% of tech equity, directed through vetted NGOs, leveraged at 5:1 to 30:1 depending on jurisdiction, building communities of 5,000 to 20,000 people that pay for themselves within five years — and funding the next community from the first one’s returns. Conservative scenario: 200–320 million people housed. Expected scenario: 750 million–1 billion. The question is not whether this works. The question is how many jurisdictions build the conditions for it to work at scale.</w:t>
            </w:r>
          </w:p>
        </w:tc>
      </w:tr>
    </w:tbl>
    <w:p>
      <w:r>
        <w:br w:type="page"/>
      </w:r>
    </w:p>
    <w:p>
      <w:pPr>
        <w:pStyle w:val="Heading1"/>
      </w:pPr>
      <w:r>
        <w:t xml:space="preserve">Methodology</w:t>
      </w:r>
    </w:p>
    <w:p>
      <w:pPr>
        <w:spacing w:after="200" w:line="320"/>
      </w:pPr>
      <w:r>
        <w:rPr>
          <w:rFonts w:ascii="Arial" w:cs="Arial" w:eastAsia="Arial" w:hAnsi="Arial"/>
          <w:sz w:val="22"/>
          <w:szCs w:val="22"/>
        </w:rPr>
        <w:t xml:space="preserve">This white paper employs a qualitative multi-method research design combining: (1) Critical Discourse Analysis of media narratives, corporate communications, and regulatory documents surrounding AI risk and homelessness; (2) Technical Literature Review of computer science research on transformer architectures, scaling laws, and housing policy; (3) Empirical Case Study Analysis of documented homelessness interventions, equity pledge models, and community-led housing initiatives; and (4) Comparative Policy Analysis of NGO governance frameworks across the EU, UK, USA, India, and Nigeria.</w:t>
      </w:r>
    </w:p>
    <w:p>
      <w:pPr>
        <w:pStyle w:val="Heading2"/>
      </w:pPr>
      <w:r>
        <w:t xml:space="preserve">Limitations</w:t>
      </w:r>
    </w:p>
    <w:p>
      <w:pPr>
        <w:pStyle w:val="ListParagraph"/>
        <w:numPr>
          <w:ilvl w:val="0"/>
          <w:numId w:val="2"/>
        </w:numPr>
        <w:spacing w:after="120" w:line="300"/>
      </w:pPr>
      <w:r>
        <w:rPr>
          <w:rFonts w:ascii="Arial" w:cs="Arial" w:eastAsia="Arial" w:hAnsi="Arial"/>
          <w:sz w:val="22"/>
          <w:szCs w:val="22"/>
        </w:rPr>
        <w:t xml:space="preserve">Data Availability: Housing statistics vary significantly across jurisdictions; UN-Habitat estimates carry margins of uncertainty.</w:t>
      </w:r>
    </w:p>
    <w:p>
      <w:pPr>
        <w:pStyle w:val="ListParagraph"/>
        <w:numPr>
          <w:ilvl w:val="0"/>
          <w:numId w:val="2"/>
        </w:numPr>
        <w:spacing w:after="120" w:line="300"/>
      </w:pPr>
      <w:r>
        <w:rPr>
          <w:rFonts w:ascii="Arial" w:cs="Arial" w:eastAsia="Arial" w:hAnsi="Arial"/>
          <w:sz w:val="22"/>
          <w:szCs w:val="22"/>
        </w:rPr>
        <w:t xml:space="preserve">Model Projections: The 30:1 leverage ratio is based on Cisco’s specific programme and may not replicate uniformly across all jurisdictions.</w:t>
      </w:r>
    </w:p>
    <w:p>
      <w:pPr>
        <w:pStyle w:val="ListParagraph"/>
        <w:numPr>
          <w:ilvl w:val="0"/>
          <w:numId w:val="2"/>
        </w:numPr>
        <w:spacing w:after="120" w:line="300"/>
      </w:pPr>
      <w:r>
        <w:rPr>
          <w:rFonts w:ascii="Arial" w:cs="Arial" w:eastAsia="Arial" w:hAnsi="Arial"/>
          <w:sz w:val="22"/>
          <w:szCs w:val="22"/>
        </w:rPr>
        <w:t xml:space="preserve">Geographic Scope: Pilot communities are proposed for India, Nigeria, and the USA; different regulatory environments will require tailored implementation.</w:t>
      </w:r>
    </w:p>
    <w:p>
      <w:pPr>
        <w:pStyle w:val="ListParagraph"/>
        <w:numPr>
          <w:ilvl w:val="0"/>
          <w:numId w:val="2"/>
        </w:numPr>
        <w:spacing w:after="120" w:line="300"/>
      </w:pPr>
      <w:r>
        <w:rPr>
          <w:rFonts w:ascii="Arial" w:cs="Arial" w:eastAsia="Arial" w:hAnsi="Arial"/>
          <w:sz w:val="22"/>
          <w:szCs w:val="22"/>
        </w:rPr>
        <w:t xml:space="preserve">Political Feasibility: The “No Government Intervention” principle will face resistance in jurisdictions with strong state housing roles.</w:t>
      </w:r>
    </w:p>
    <w:p>
      <w:pPr>
        <w:spacing w:after="100"/>
      </w:pPr>
      <w:r>
        <w:t xml:space="preserve"/>
      </w:r>
    </w:p>
    <w:p>
      <w:pPr>
        <w:spacing w:after="200" w:line="320"/>
      </w:pPr>
      <w:r>
        <w:rPr>
          <w:rFonts w:ascii="Arial" w:cs="Arial" w:eastAsia="Arial" w:hAnsi="Arial"/>
          <w:sz w:val="22"/>
          <w:szCs w:val="22"/>
        </w:rPr>
        <w:t xml:space="preserve">AI Tools Disclosure: This white paper was developed with the assistance of AI-powered research and writing tools including large language models for literature synthesis, drafting, and formatting. All substantive arguments, policy recommendations, empirical claims, and final editorial decisions remain the sole responsibility of the author.</w:t>
      </w:r>
    </w:p>
    <w:p>
      <w:r>
        <w:br w:type="page"/>
      </w:r>
    </w:p>
    <w:p>
      <w:pPr>
        <w:pStyle w:val="Heading1"/>
      </w:pPr>
      <w:r>
        <w:t xml:space="preserve">References</w:t>
      </w:r>
    </w:p>
    <w:p>
      <w:pPr>
        <w:spacing w:after="80" w:before="80"/>
      </w:pPr>
      <w:r>
        <w:rPr>
          <w:rFonts w:ascii="Arial" w:cs="Arial" w:eastAsia="Arial" w:hAnsi="Arial"/>
          <w:b/>
          <w:bCs/>
          <w:color w:val="B8860B"/>
          <w:sz w:val="20"/>
          <w:szCs w:val="20"/>
        </w:rPr>
        <w:t xml:space="preserve">1. </w:t>
      </w:r>
      <w:r>
        <w:rPr>
          <w:rFonts w:ascii="Georgia" w:cs="Georgia" w:eastAsia="Georgia" w:hAnsi="Georgia"/>
          <w:color w:val="555555"/>
          <w:sz w:val="20"/>
          <w:szCs w:val="20"/>
        </w:rPr>
        <w:t xml:space="preserve">UN-Habitat. (2026). “Strategic Plan 2026–2029.” United Nations Human Settlements Programme.</w:t>
      </w:r>
    </w:p>
    <w:p>
      <w:pPr>
        <w:spacing w:after="80" w:before="80"/>
      </w:pPr>
      <w:r>
        <w:rPr>
          <w:rFonts w:ascii="Arial" w:cs="Arial" w:eastAsia="Arial" w:hAnsi="Arial"/>
          <w:b/>
          <w:bCs/>
          <w:color w:val="B8860B"/>
          <w:sz w:val="20"/>
          <w:szCs w:val="20"/>
        </w:rPr>
        <w:t xml:space="preserve">2. </w:t>
      </w:r>
      <w:r>
        <w:rPr>
          <w:rFonts w:ascii="Georgia" w:cs="Georgia" w:eastAsia="Georgia" w:hAnsi="Georgia"/>
          <w:color w:val="555555"/>
          <w:sz w:val="20"/>
          <w:szCs w:val="20"/>
        </w:rPr>
        <w:t xml:space="preserve">UN-Habitat. (2025). “World Cities Report 2026.” United Nations Human Settlements Programme.</w:t>
      </w:r>
    </w:p>
    <w:p>
      <w:pPr>
        <w:spacing w:after="80" w:before="80"/>
      </w:pPr>
      <w:r>
        <w:rPr>
          <w:rFonts w:ascii="Arial" w:cs="Arial" w:eastAsia="Arial" w:hAnsi="Arial"/>
          <w:b/>
          <w:bCs/>
          <w:color w:val="B8860B"/>
          <w:sz w:val="20"/>
          <w:szCs w:val="20"/>
        </w:rPr>
        <w:t xml:space="preserve">3. </w:t>
      </w:r>
      <w:r>
        <w:rPr>
          <w:rFonts w:ascii="Georgia" w:cs="Georgia" w:eastAsia="Georgia" w:hAnsi="Georgia"/>
          <w:color w:val="555555"/>
          <w:sz w:val="20"/>
          <w:szCs w:val="20"/>
        </w:rPr>
        <w:t xml:space="preserve">World Bank. (2024). “Housing Deficit in Emerging Economies.” World Bank Group.</w:t>
      </w:r>
    </w:p>
    <w:p>
      <w:pPr>
        <w:spacing w:after="80" w:before="80"/>
      </w:pPr>
      <w:r>
        <w:rPr>
          <w:rFonts w:ascii="Arial" w:cs="Arial" w:eastAsia="Arial" w:hAnsi="Arial"/>
          <w:b/>
          <w:bCs/>
          <w:color w:val="B8860B"/>
          <w:sz w:val="20"/>
          <w:szCs w:val="20"/>
        </w:rPr>
        <w:t xml:space="preserve">4. </w:t>
      </w:r>
      <w:r>
        <w:rPr>
          <w:rFonts w:ascii="Georgia" w:cs="Georgia" w:eastAsia="Georgia" w:hAnsi="Georgia"/>
          <w:color w:val="555555"/>
          <w:sz w:val="20"/>
          <w:szCs w:val="20"/>
        </w:rPr>
        <w:t xml:space="preserve">Pledge 1%. (2025). “Annual Impact Report 2025.” Pledge 1% Foundation. [Verified programme data]</w:t>
      </w:r>
    </w:p>
    <w:p>
      <w:pPr>
        <w:spacing w:after="80" w:before="80"/>
      </w:pPr>
      <w:r>
        <w:rPr>
          <w:rFonts w:ascii="Arial" w:cs="Arial" w:eastAsia="Arial" w:hAnsi="Arial"/>
          <w:b/>
          <w:bCs/>
          <w:color w:val="B8860B"/>
          <w:sz w:val="20"/>
          <w:szCs w:val="20"/>
        </w:rPr>
        <w:t xml:space="preserve">5. </w:t>
      </w:r>
      <w:r>
        <w:rPr>
          <w:rFonts w:ascii="Georgia" w:cs="Georgia" w:eastAsia="Georgia" w:hAnsi="Georgia"/>
          <w:color w:val="555555"/>
          <w:sz w:val="20"/>
          <w:szCs w:val="20"/>
        </w:rPr>
        <w:t xml:space="preserve">Startup Daily. (2025). “Scott Farquhar to Lead Pledge 1%.”</w:t>
      </w:r>
    </w:p>
    <w:p>
      <w:pPr>
        <w:spacing w:after="80" w:before="80"/>
      </w:pPr>
      <w:r>
        <w:rPr>
          <w:rFonts w:ascii="Arial" w:cs="Arial" w:eastAsia="Arial" w:hAnsi="Arial"/>
          <w:b/>
          <w:bCs/>
          <w:color w:val="B8860B"/>
          <w:sz w:val="20"/>
          <w:szCs w:val="20"/>
        </w:rPr>
        <w:t xml:space="preserve">6. </w:t>
      </w:r>
      <w:r>
        <w:rPr>
          <w:rFonts w:ascii="Georgia" w:cs="Georgia" w:eastAsia="Georgia" w:hAnsi="Georgia"/>
          <w:color w:val="555555"/>
          <w:sz w:val="20"/>
          <w:szCs w:val="20"/>
        </w:rPr>
        <w:t xml:space="preserve">Destination: Home. (2025). “Cisco Partnership: 6-Year Impact Report.” [Independently verified]</w:t>
      </w:r>
    </w:p>
    <w:p>
      <w:pPr>
        <w:spacing w:after="80" w:before="80"/>
      </w:pPr>
      <w:r>
        <w:rPr>
          <w:rFonts w:ascii="Arial" w:cs="Arial" w:eastAsia="Arial" w:hAnsi="Arial"/>
          <w:b/>
          <w:bCs/>
          <w:color w:val="B8860B"/>
          <w:sz w:val="20"/>
          <w:szCs w:val="20"/>
        </w:rPr>
        <w:t xml:space="preserve">7. </w:t>
      </w:r>
      <w:r>
        <w:rPr>
          <w:rFonts w:ascii="Georgia" w:cs="Georgia" w:eastAsia="Georgia" w:hAnsi="Georgia"/>
          <w:color w:val="555555"/>
          <w:sz w:val="20"/>
          <w:szCs w:val="20"/>
        </w:rPr>
        <w:t xml:space="preserve">AP News. (2025). “Right at Home Initiative Launches with US$77 Million.” Associated Press.</w:t>
      </w:r>
    </w:p>
    <w:p>
      <w:pPr>
        <w:spacing w:after="80" w:before="80"/>
      </w:pPr>
      <w:r>
        <w:rPr>
          <w:rFonts w:ascii="Arial" w:cs="Arial" w:eastAsia="Arial" w:hAnsi="Arial"/>
          <w:b/>
          <w:bCs/>
          <w:color w:val="B8860B"/>
          <w:sz w:val="20"/>
          <w:szCs w:val="20"/>
        </w:rPr>
        <w:t xml:space="preserve">8. </w:t>
      </w:r>
      <w:r>
        <w:rPr>
          <w:rFonts w:ascii="Georgia" w:cs="Georgia" w:eastAsia="Georgia" w:hAnsi="Georgia"/>
          <w:color w:val="555555"/>
          <w:sz w:val="20"/>
          <w:szCs w:val="20"/>
        </w:rPr>
        <w:t xml:space="preserve">Emmaus UK. (2024). “Annual Report 2023–2024.” [Independently audited]</w:t>
      </w:r>
    </w:p>
    <w:p>
      <w:pPr>
        <w:spacing w:after="80" w:before="80"/>
      </w:pPr>
      <w:r>
        <w:rPr>
          <w:rFonts w:ascii="Arial" w:cs="Arial" w:eastAsia="Arial" w:hAnsi="Arial"/>
          <w:b/>
          <w:bCs/>
          <w:color w:val="B8860B"/>
          <w:sz w:val="20"/>
          <w:szCs w:val="20"/>
        </w:rPr>
        <w:t xml:space="preserve">9. </w:t>
      </w:r>
      <w:r>
        <w:rPr>
          <w:rFonts w:ascii="Georgia" w:cs="Georgia" w:eastAsia="Georgia" w:hAnsi="Georgia"/>
          <w:color w:val="555555"/>
          <w:sz w:val="20"/>
          <w:szCs w:val="20"/>
        </w:rPr>
        <w:t xml:space="preserve">Emmaus UK. (2025). “Oxford Move-On Houses: Bridging the Gap.”</w:t>
      </w:r>
    </w:p>
    <w:p>
      <w:pPr>
        <w:spacing w:after="80" w:before="80"/>
      </w:pPr>
      <w:r>
        <w:rPr>
          <w:rFonts w:ascii="Arial" w:cs="Arial" w:eastAsia="Arial" w:hAnsi="Arial"/>
          <w:b/>
          <w:bCs/>
          <w:color w:val="B8860B"/>
          <w:sz w:val="20"/>
          <w:szCs w:val="20"/>
        </w:rPr>
        <w:t xml:space="preserve">10. </w:t>
      </w:r>
      <w:r>
        <w:rPr>
          <w:rFonts w:ascii="Georgia" w:cs="Georgia" w:eastAsia="Georgia" w:hAnsi="Georgia"/>
          <w:color w:val="555555"/>
          <w:sz w:val="20"/>
          <w:szCs w:val="20"/>
        </w:rPr>
        <w:t xml:space="preserve">Article 25. (2024). “Project Portfolio 2005–2024.”</w:t>
      </w:r>
    </w:p>
    <w:p>
      <w:pPr>
        <w:spacing w:after="80" w:before="80"/>
      </w:pPr>
      <w:r>
        <w:rPr>
          <w:rFonts w:ascii="Arial" w:cs="Arial" w:eastAsia="Arial" w:hAnsi="Arial"/>
          <w:b/>
          <w:bCs/>
          <w:color w:val="B8860B"/>
          <w:sz w:val="20"/>
          <w:szCs w:val="20"/>
        </w:rPr>
        <w:t xml:space="preserve">11. </w:t>
      </w:r>
      <w:r>
        <w:rPr>
          <w:rFonts w:ascii="Georgia" w:cs="Georgia" w:eastAsia="Georgia" w:hAnsi="Georgia"/>
          <w:color w:val="555555"/>
          <w:sz w:val="20"/>
          <w:szCs w:val="20"/>
        </w:rPr>
        <w:t xml:space="preserve">Homeless Link. (2024). “Emmaus UK: Positive Approaches Case Study.”</w:t>
      </w:r>
    </w:p>
    <w:p>
      <w:pPr>
        <w:spacing w:after="80" w:before="80"/>
      </w:pPr>
      <w:r>
        <w:rPr>
          <w:rFonts w:ascii="Arial" w:cs="Arial" w:eastAsia="Arial" w:hAnsi="Arial"/>
          <w:b/>
          <w:bCs/>
          <w:color w:val="B8860B"/>
          <w:sz w:val="20"/>
          <w:szCs w:val="20"/>
        </w:rPr>
        <w:t xml:space="preserve">12. </w:t>
      </w:r>
      <w:r>
        <w:rPr>
          <w:rFonts w:ascii="Georgia" w:cs="Georgia" w:eastAsia="Georgia" w:hAnsi="Georgia"/>
          <w:color w:val="555555"/>
          <w:sz w:val="20"/>
          <w:szCs w:val="20"/>
        </w:rPr>
        <w:t xml:space="preserve">International Finance Corporation. (2024). “IFC Housing Finance Programme: Blended Finance Results.” World Bank Group.</w:t>
      </w:r>
    </w:p>
    <w:p>
      <w:pPr>
        <w:spacing w:after="80" w:before="80"/>
      </w:pPr>
      <w:r>
        <w:rPr>
          <w:rFonts w:ascii="Arial" w:cs="Arial" w:eastAsia="Arial" w:hAnsi="Arial"/>
          <w:b/>
          <w:bCs/>
          <w:color w:val="B8860B"/>
          <w:sz w:val="20"/>
          <w:szCs w:val="20"/>
        </w:rPr>
        <w:t xml:space="preserve">13. </w:t>
      </w:r>
      <w:r>
        <w:rPr>
          <w:rFonts w:ascii="Georgia" w:cs="Georgia" w:eastAsia="Georgia" w:hAnsi="Georgia"/>
          <w:color w:val="555555"/>
          <w:sz w:val="20"/>
          <w:szCs w:val="20"/>
        </w:rPr>
        <w:t xml:space="preserve">Singapore Housing Development Board. (2024). “HDB Annual Report 2023–2024.” Government of Singapore.</w:t>
      </w:r>
    </w:p>
    <w:p>
      <w:pPr>
        <w:spacing w:after="80" w:before="80"/>
      </w:pPr>
      <w:r>
        <w:rPr>
          <w:rFonts w:ascii="Arial" w:cs="Arial" w:eastAsia="Arial" w:hAnsi="Arial"/>
          <w:b/>
          <w:bCs/>
          <w:color w:val="B8860B"/>
          <w:sz w:val="20"/>
          <w:szCs w:val="20"/>
        </w:rPr>
        <w:t xml:space="preserve">14. </w:t>
      </w:r>
      <w:r>
        <w:rPr>
          <w:rFonts w:ascii="Georgia" w:cs="Georgia" w:eastAsia="Georgia" w:hAnsi="Georgia"/>
          <w:color w:val="555555"/>
          <w:sz w:val="20"/>
          <w:szCs w:val="20"/>
        </w:rPr>
        <w:t xml:space="preserve">Ministry of Housing and Urban Affairs, Government of India. (2024). “Pradhan Mantri Awas Yojana: Progress Report.”</w:t>
      </w:r>
    </w:p>
    <w:p>
      <w:pPr>
        <w:spacing w:after="80" w:before="80"/>
      </w:pPr>
      <w:r>
        <w:rPr>
          <w:rFonts w:ascii="Arial" w:cs="Arial" w:eastAsia="Arial" w:hAnsi="Arial"/>
          <w:b/>
          <w:bCs/>
          <w:color w:val="B8860B"/>
          <w:sz w:val="20"/>
          <w:szCs w:val="20"/>
        </w:rPr>
        <w:t xml:space="preserve">15. </w:t>
      </w:r>
      <w:r>
        <w:rPr>
          <w:rFonts w:ascii="Georgia" w:cs="Georgia" w:eastAsia="Georgia" w:hAnsi="Georgia"/>
          <w:color w:val="555555"/>
          <w:sz w:val="20"/>
          <w:szCs w:val="20"/>
        </w:rPr>
        <w:t xml:space="preserve">Li, P., et al. (2023). “Making AI Less Thirsty: Uncovering and Addressing the Secret Water Footprint of AI Models.” University of California Riverside.</w:t>
      </w:r>
    </w:p>
    <w:p>
      <w:pPr>
        <w:spacing w:after="80" w:before="80"/>
      </w:pPr>
      <w:r>
        <w:rPr>
          <w:rFonts w:ascii="Arial" w:cs="Arial" w:eastAsia="Arial" w:hAnsi="Arial"/>
          <w:b/>
          <w:bCs/>
          <w:color w:val="B8860B"/>
          <w:sz w:val="20"/>
          <w:szCs w:val="20"/>
        </w:rPr>
        <w:t xml:space="preserve">16. </w:t>
      </w:r>
      <w:r>
        <w:rPr>
          <w:rFonts w:ascii="Georgia" w:cs="Georgia" w:eastAsia="Georgia" w:hAnsi="Georgia"/>
          <w:color w:val="555555"/>
          <w:sz w:val="20"/>
          <w:szCs w:val="20"/>
        </w:rPr>
        <w:t xml:space="preserve">International Energy Agency. (2024). “Data Centres and AI: Energy Consumption Trends.” IEA Report.</w:t>
      </w:r>
    </w:p>
    <w:p>
      <w:pPr>
        <w:spacing w:after="80" w:before="80"/>
      </w:pPr>
      <w:r>
        <w:rPr>
          <w:rFonts w:ascii="Arial" w:cs="Arial" w:eastAsia="Arial" w:hAnsi="Arial"/>
          <w:b/>
          <w:bCs/>
          <w:color w:val="B8860B"/>
          <w:sz w:val="20"/>
          <w:szCs w:val="20"/>
        </w:rPr>
        <w:t xml:space="preserve">17. </w:t>
      </w:r>
      <w:r>
        <w:rPr>
          <w:rFonts w:ascii="Georgia" w:cs="Georgia" w:eastAsia="Georgia" w:hAnsi="Georgia"/>
          <w:color w:val="555555"/>
          <w:sz w:val="20"/>
          <w:szCs w:val="20"/>
        </w:rPr>
        <w:t xml:space="preserve">Tata Trusts. (2024). “Annual Report 2023–2024.” Tata Trusts.</w:t>
      </w:r>
    </w:p>
    <w:p>
      <w:pPr>
        <w:spacing w:after="80" w:before="80"/>
      </w:pPr>
      <w:r>
        <w:rPr>
          <w:rFonts w:ascii="Arial" w:cs="Arial" w:eastAsia="Arial" w:hAnsi="Arial"/>
          <w:b/>
          <w:bCs/>
          <w:color w:val="B8860B"/>
          <w:sz w:val="20"/>
          <w:szCs w:val="20"/>
        </w:rPr>
        <w:t xml:space="preserve">18. </w:t>
      </w:r>
      <w:r>
        <w:rPr>
          <w:rFonts w:ascii="Georgia" w:cs="Georgia" w:eastAsia="Georgia" w:hAnsi="Georgia"/>
          <w:color w:val="555555"/>
          <w:sz w:val="20"/>
          <w:szCs w:val="20"/>
        </w:rPr>
        <w:t xml:space="preserve">Habitat for Humanity International. (2024). “Annual Report 2023–2024.” Habitat for Humanity.</w:t>
      </w:r>
    </w:p>
    <w:p>
      <w:pPr>
        <w:spacing w:after="80" w:before="80"/>
      </w:pPr>
      <w:r>
        <w:rPr>
          <w:rFonts w:ascii="Arial" w:cs="Arial" w:eastAsia="Arial" w:hAnsi="Arial"/>
          <w:b/>
          <w:bCs/>
          <w:color w:val="B8860B"/>
          <w:sz w:val="20"/>
          <w:szCs w:val="20"/>
        </w:rPr>
        <w:t xml:space="preserve">19. </w:t>
      </w:r>
      <w:r>
        <w:rPr>
          <w:rFonts w:ascii="Georgia" w:cs="Georgia" w:eastAsia="Georgia" w:hAnsi="Georgia"/>
          <w:color w:val="555555"/>
          <w:sz w:val="20"/>
          <w:szCs w:val="20"/>
        </w:rPr>
        <w:t xml:space="preserve">Family Homes Funds Ltd. (2024). “Annual Report 2023–2024.” Federal Mortgage Bank of Nigeria.</w:t>
      </w:r>
    </w:p>
    <w:p>
      <w:pPr>
        <w:spacing w:after="80" w:before="80"/>
      </w:pPr>
      <w:r>
        <w:rPr>
          <w:rFonts w:ascii="Arial" w:cs="Arial" w:eastAsia="Arial" w:hAnsi="Arial"/>
          <w:b/>
          <w:bCs/>
          <w:color w:val="B8860B"/>
          <w:sz w:val="20"/>
          <w:szCs w:val="20"/>
        </w:rPr>
        <w:t xml:space="preserve">20. </w:t>
      </w:r>
      <w:r>
        <w:rPr>
          <w:rFonts w:ascii="Georgia" w:cs="Georgia" w:eastAsia="Georgia" w:hAnsi="Georgia"/>
          <w:color w:val="555555"/>
          <w:sz w:val="20"/>
          <w:szCs w:val="20"/>
        </w:rPr>
        <w:t xml:space="preserve">Gates Foundation. (2024). “Charitable Pledge Legal Framework: Overview.” Bill &amp; Melinda Gates Foundation.</w:t>
      </w:r>
    </w:p>
    <w:p>
      <w:pPr>
        <w:spacing w:after="80" w:before="80"/>
      </w:pPr>
      <w:r>
        <w:rPr>
          <w:rFonts w:ascii="Arial" w:cs="Arial" w:eastAsia="Arial" w:hAnsi="Arial"/>
          <w:b/>
          <w:bCs/>
          <w:color w:val="B8860B"/>
          <w:sz w:val="20"/>
          <w:szCs w:val="20"/>
        </w:rPr>
        <w:t xml:space="preserve">21. </w:t>
      </w:r>
      <w:r>
        <w:rPr>
          <w:rFonts w:ascii="Georgia" w:cs="Georgia" w:eastAsia="Georgia" w:hAnsi="Georgia"/>
          <w:color w:val="555555"/>
          <w:sz w:val="20"/>
          <w:szCs w:val="20"/>
        </w:rPr>
        <w:t xml:space="preserve">IPCC. (2023). “Sixth Assessment Report: Mitigation of Climate Change.” Intergovernmental Panel on Climate Change.</w:t>
      </w:r>
    </w:p>
    <w:p>
      <w:pPr>
        <w:spacing w:after="80" w:before="80"/>
      </w:pPr>
      <w:r>
        <w:rPr>
          <w:rFonts w:ascii="Arial" w:cs="Arial" w:eastAsia="Arial" w:hAnsi="Arial"/>
          <w:b/>
          <w:bCs/>
          <w:color w:val="B8860B"/>
          <w:sz w:val="20"/>
          <w:szCs w:val="20"/>
        </w:rPr>
        <w:t xml:space="preserve">22. </w:t>
      </w:r>
      <w:r>
        <w:rPr>
          <w:rFonts w:ascii="Georgia" w:cs="Georgia" w:eastAsia="Georgia" w:hAnsi="Georgia"/>
          <w:color w:val="555555"/>
          <w:sz w:val="20"/>
          <w:szCs w:val="20"/>
        </w:rPr>
        <w:t xml:space="preserve">United Nations University. (2025). “The Environmental Footprint of Artificial Intelligence.” UNU Institute for Water, Environment and Health.</w:t>
      </w:r>
    </w:p>
    <w:p>
      <w:pPr>
        <w:spacing w:after="80" w:before="80"/>
      </w:pPr>
      <w:r>
        <w:rPr>
          <w:rFonts w:ascii="Arial" w:cs="Arial" w:eastAsia="Arial" w:hAnsi="Arial"/>
          <w:b/>
          <w:bCs/>
          <w:color w:val="B8860B"/>
          <w:sz w:val="20"/>
          <w:szCs w:val="20"/>
        </w:rPr>
        <w:t xml:space="preserve">23. </w:t>
      </w:r>
      <w:r>
        <w:rPr>
          <w:rFonts w:ascii="Georgia" w:cs="Georgia" w:eastAsia="Georgia" w:hAnsi="Georgia"/>
          <w:color w:val="555555"/>
          <w:sz w:val="20"/>
          <w:szCs w:val="20"/>
        </w:rPr>
        <w:t xml:space="preserve">World Economic Forum. (2024). “AI Governance: A Framework for Action.” WEF White Paper.</w:t>
      </w:r>
    </w:p>
    <w:p>
      <w:r>
        <w:br w:type="page"/>
      </w:r>
    </w:p>
    <w:p>
      <w:pPr>
        <w:pStyle w:val="Heading1"/>
      </w:pPr>
      <w:r>
        <w:t xml:space="preserve">About the Author</w:t>
      </w:r>
    </w:p>
    <w:p>
      <w:pPr>
        <w:spacing w:after="200" w:line="320"/>
      </w:pPr>
      <w:r>
        <w:rPr>
          <w:rFonts w:ascii="Arial" w:cs="Arial" w:eastAsia="Arial" w:hAnsi="Arial"/>
          <w:sz w:val="22"/>
          <w:szCs w:val="22"/>
        </w:rPr>
        <w:t xml:space="preserve">Pawan Bhatia is the founder of NextGen Economics, an independent research platform publishing long-horizon analysis on capital, technology, and the forces shaping the next decade of wealth creation.</w:t>
      </w:r>
    </w:p>
    <w:p>
      <w:pPr>
        <w:spacing w:after="200" w:line="320"/>
      </w:pPr>
      <w:r>
        <w:rPr>
          <w:rFonts w:ascii="Arial" w:cs="Arial" w:eastAsia="Arial" w:hAnsi="Arial"/>
          <w:sz w:val="22"/>
          <w:szCs w:val="22"/>
        </w:rPr>
        <w:t xml:space="preserve">His work is guided by a singular vision: a world in which the quality and distribution of economic thinking is radically improved — a 1Q world, in which better questions lead to better outcomes. Blessings Equity: The ARK Foundation is the third paper in that project.</w:t>
      </w:r>
    </w:p>
    <w:p>
      <w:pPr>
        <w:spacing w:after="200" w:line="320"/>
      </w:pPr>
      <w:r>
        <w:rPr>
          <w:rFonts w:ascii="Arial" w:cs="Arial" w:eastAsia="Arial" w:hAnsi="Arial"/>
          <w:sz w:val="22"/>
          <w:szCs w:val="22"/>
        </w:rPr>
        <w:t xml:space="preserve">This paper was built with the assistance of AI tools for research synthesis, drafting, and formatting. All arguments, policy recommendations, and editorial decisions are the author’s own.</w:t>
      </w:r>
    </w:p>
    <w:p>
      <w:pPr>
        <w:spacing w:after="200" w:line="320"/>
      </w:pPr>
      <w:r>
        <w:rPr>
          <w:rFonts w:ascii="Arial" w:cs="Arial" w:eastAsia="Arial" w:hAnsi="Arial"/>
          <w:sz w:val="22"/>
          <w:szCs w:val="22"/>
        </w:rPr>
        <w:t xml:space="preserve">Contact: pawan.bhatia@nextgeneconomics.com · www.nextgeneconomics.com</w:t>
      </w:r>
    </w:p>
    <w:p>
      <w:pPr>
        <w:spacing w:after="200"/>
      </w:pPr>
      <w:r>
        <w:t xml:space="preserve"/>
      </w:r>
    </w:p>
    <w:p>
      <w:pPr>
        <w:pStyle w:val="Heading1"/>
      </w:pPr>
      <w:r>
        <w:t xml:space="preserve">Publisher’s Note</w:t>
      </w:r>
    </w:p>
    <w:p>
      <w:pPr>
        <w:spacing w:after="200" w:line="320"/>
      </w:pPr>
      <w:r>
        <w:rPr>
          <w:rFonts w:ascii="Arial" w:cs="Arial" w:eastAsia="Arial" w:hAnsi="Arial"/>
          <w:sz w:val="22"/>
          <w:szCs w:val="22"/>
        </w:rPr>
        <w:t xml:space="preserve">NextGen Economics is an independent research platform dedicated to producing evidence-based, accessible, and actionable research on the societal implications of technological change. No corporate funding, advisory relationships, or consulting engagements influenced the analysis or conclusions presented in this document.</w:t>
      </w:r>
    </w:p>
    <w:p>
      <w:pPr>
        <w:spacing w:after="200" w:line="320"/>
      </w:pPr>
      <w:r>
        <w:rPr>
          <w:rFonts w:ascii="Arial" w:cs="Arial" w:eastAsia="Arial" w:hAnsi="Arial"/>
          <w:sz w:val="22"/>
          <w:szCs w:val="22"/>
        </w:rPr>
        <w:t xml:space="preserve">This white paper is the third in our series on “The Governance of Emerging Technologies,” following “Sovereign Money as Equity” and “The Alignment Mirage: Why Superintelligence Won’t Kill Us, But Bad Data Already Is.”</w:t>
      </w:r>
    </w:p>
    <w:p>
      <w:pPr>
        <w:spacing w:after="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D0C8" w:sz="4"/>
              <w:left w:val="single" w:color="B8860B" w:sz="24"/>
              <w:bottom w:val="single" w:color="D4D0C8" w:sz="4"/>
              <w:right w:val="single" w:color="D4D0C8" w:sz="4"/>
            </w:tcBorders>
            <w:shd w:fill="F3F0E8" w:val="clear"/>
            <w:tcMar>
              <w:top w:type="dxa" w:w="200"/>
              <w:left w:type="dxa" w:w="260"/>
              <w:bottom w:type="dxa" w:w="200"/>
              <w:right w:type="dxa" w:w="260"/>
            </w:tcMar>
          </w:tcPr>
          <w:p>
            <w:pPr>
              <w:spacing w:after="100"/>
            </w:pPr>
            <w:r>
              <w:rPr>
                <w:rFonts w:ascii="Arial" w:cs="Arial" w:eastAsia="Arial" w:hAnsi="Arial"/>
                <w:b/>
                <w:bCs/>
                <w:color w:val="B8860B"/>
                <w:spacing w:val="20"/>
                <w:sz w:val="18"/>
                <w:szCs w:val="18"/>
              </w:rPr>
              <w:t xml:space="preserve">NGE · NEXTGEN ECONOMICS</w:t>
            </w:r>
          </w:p>
          <w:p>
            <w:pPr>
              <w:spacing w:line="300"/>
            </w:pPr>
            <w:r>
              <w:rPr>
                <w:rFonts w:ascii="Arial" w:cs="Arial" w:eastAsia="Arial" w:hAnsi="Arial"/>
                <w:i/>
                <w:iCs/>
                <w:sz w:val="22"/>
                <w:szCs w:val="22"/>
              </w:rPr>
              <w:t xml:space="preserve">Long-horizon thinking on capital, technology, and the forces shaping the next decade of wealth creation. Written from first principles. Not consensus. Not noise. — Pawan Bhatia · NextGen Economics · Bangalore, India · July 2026</w:t>
            </w:r>
          </w:p>
        </w:tc>
      </w:tr>
    </w:tbl>
    <w:p>
      <w:pPr>
        <w:spacing w:after="200"/>
      </w:pPr>
      <w:r>
        <w:t xml:space="preserve"/>
      </w:r>
    </w:p>
    <w:p>
      <w:pPr>
        <w:pStyle w:val="Heading1"/>
      </w:pPr>
      <w:r>
        <w:t xml:space="preserve">Disclaimer</w:t>
      </w:r>
    </w:p>
    <w:p>
      <w:pPr>
        <w:spacing w:after="200" w:line="320"/>
      </w:pPr>
      <w:r>
        <w:rPr>
          <w:rFonts w:ascii="Arial" w:cs="Arial" w:eastAsia="Arial" w:hAnsi="Arial"/>
          <w:sz w:val="22"/>
          <w:szCs w:val="22"/>
        </w:rPr>
        <w:t xml:space="preserve">This white paper is for informational purposes only. The views expressed herein are those of the author(s) and do not necessarily reflect the views of any affiliated organizations. This document does not constitute legal advice, regulatory guidance, or policy endorsement.</w:t>
      </w:r>
    </w:p>
    <w:p>
      <w:pPr>
        <w:spacing w:after="200" w:line="320"/>
      </w:pPr>
      <w:r>
        <w:rPr>
          <w:rFonts w:ascii="Arial" w:cs="Arial" w:eastAsia="Arial" w:hAnsi="Arial"/>
          <w:sz w:val="22"/>
          <w:szCs w:val="22"/>
        </w:rPr>
        <w:t xml:space="preserve">AI Tools Disclaimer: This white paper was developed with the assistance of AI-powered research and writing tools, including large language models for literature synthesis, drafting, and formatting. All substantive arguments, policy recommendations, empirical claims, and final editorial decisions remain the sole responsibility of the author.</w:t>
      </w:r>
    </w:p>
    <w:p>
      <w:pPr>
        <w:spacing w:after="200" w:line="320"/>
      </w:pPr>
      <w:r>
        <w:rPr>
          <w:rFonts w:ascii="Arial" w:cs="Arial" w:eastAsia="Arial" w:hAnsi="Arial"/>
          <w:sz w:val="22"/>
          <w:szCs w:val="22"/>
        </w:rPr>
        <w:t xml:space="preserve">Reproduction and Distribution: This white paper is licensed under Creative Commons Attribution-NonCommercial 4.0 International License. You are free to share, adapt, and distribute this work for non-commercial purposes, provided you attribute the author appropriately.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pPr>
    <w:rPr>
      <w:rFonts w:ascii="Arial" w:cs="Arial" w:eastAsia="Arial" w:hAnsi="Arial"/>
      <w:b/>
      <w:bCs/>
      <w:color w:val="0A2540"/>
      <w:sz w:val="36"/>
      <w:szCs w:val="36"/>
    </w:rPr>
  </w:style>
  <w:style w:type="paragraph" w:styleId="Heading2">
    <w:name w:val="Heading 2"/>
    <w:basedOn w:val="Normal"/>
    <w:next w:val="Normal"/>
    <w:qFormat/>
    <w:pPr>
      <w:spacing w:after="120" w:before="320"/>
    </w:pPr>
    <w:rPr>
      <w:rFonts w:ascii="Arial" w:cs="Arial" w:eastAsia="Arial" w:hAnsi="Arial"/>
      <w:b/>
      <w:bCs/>
      <w:color w:val="0A2540"/>
      <w:sz w:val="26"/>
      <w:szCs w:val="26"/>
    </w:rPr>
  </w:style>
  <w:style w:type="paragraph" w:styleId="Heading3">
    <w:name w:val="Heading 3"/>
    <w:basedOn w:val="Normal"/>
    <w:next w:val="Normal"/>
    <w:qFormat/>
    <w:pPr>
      <w:spacing w:after="80" w:before="240"/>
    </w:pPr>
    <w:rPr>
      <w:rFonts w:ascii="Arial" w:cs="Arial" w:eastAsia="Arial" w:hAnsi="Arial"/>
      <w:b/>
      <w:bCs/>
      <w:i/>
      <w:iCs/>
      <w:color w:val="555555"/>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2026-07-02T08:28:18.317Z</dcterms:created>
  <dcterms:modified xsi:type="dcterms:W3CDTF">2026-07-02T08:28:18.317Z</dcterms:modified>
</cp:coreProperties>
</file>

<file path=docProps/custom.xml><?xml version="1.0" encoding="utf-8"?>
<Properties xmlns="http://schemas.openxmlformats.org/officeDocument/2006/custom-properties" xmlns:vt="http://schemas.openxmlformats.org/officeDocument/2006/docPropsVTypes"/>
</file>