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0"/>
      </w:pPr>
      <w:r>
        <w:rPr>
          <w:rFonts w:ascii="Arial" w:cs="Arial" w:eastAsia="Arial" w:hAnsi="Arial"/>
          <w:b/>
          <w:bCs/>
          <w:caps/>
          <w:color w:val="B8860B"/>
          <w:spacing w:val="200"/>
          <w:sz w:val="22"/>
          <w:szCs w:val="22"/>
        </w:rPr>
        <w:t xml:space="preserve">NEXTGEN ECONOMICS</w:t>
      </w:r>
    </w:p>
    <w:p>
      <w:pPr>
        <w:spacing w:after="400" w:before="0"/>
      </w:pPr>
      <w:r>
        <w:rPr>
          <w:rFonts w:ascii="Arial" w:cs="Arial" w:eastAsia="Arial" w:hAnsi="Arial"/>
          <w:caps/>
          <w:color w:val="555555"/>
          <w:spacing w:val="80"/>
          <w:sz w:val="18"/>
          <w:szCs w:val="18"/>
        </w:rPr>
        <w:t xml:space="preserve">WHITE PAPER · AI GOVERNANCE &amp; REGULATORY REFORM</w:t>
      </w:r>
    </w:p>
    <w:p>
      <w:pPr>
        <w:pBdr>
          <w:bottom w:val="single" w:color="B8860B" w:sz="8" w:space="1"/>
        </w:pBdr>
        <w:spacing w:after="240" w:before="60"/>
      </w:pPr>
      <w:r>
        <w:rPr>
          <w:sz w:val="2"/>
          <w:szCs w:val="2"/>
        </w:rPr>
        <w:t xml:space="preserve"/>
      </w:r>
    </w:p>
    <w:p>
      <w:pPr>
        <w:spacing w:after="120" w:before="400"/>
      </w:pPr>
      <w:r>
        <w:rPr>
          <w:rFonts w:ascii="Arial" w:cs="Arial" w:eastAsia="Arial" w:hAnsi="Arial"/>
          <w:b/>
          <w:bCs/>
          <w:color w:val="0A2540"/>
          <w:sz w:val="64"/>
          <w:szCs w:val="64"/>
        </w:rPr>
        <w:t xml:space="preserve">The Alignment Mirage:</w:t>
      </w:r>
    </w:p>
    <w:p>
      <w:pPr>
        <w:spacing w:after="300" w:before="0"/>
      </w:pPr>
      <w:r>
        <w:rPr>
          <w:rFonts w:ascii="Arial" w:cs="Arial" w:eastAsia="Arial" w:hAnsi="Arial"/>
          <w:i/>
          <w:iCs/>
          <w:color w:val="B8860B"/>
          <w:sz w:val="40"/>
          <w:szCs w:val="40"/>
        </w:rPr>
        <w:t xml:space="preserve">Why AI Governance Matters Now, Not Later</w:t>
      </w:r>
    </w:p>
    <w:p>
      <w:pPr>
        <w:spacing w:after="300" w:before="0"/>
      </w:pPr>
      <w:r>
        <w:rPr>
          <w:rFonts w:ascii="Georgia" w:cs="Georgia" w:eastAsia="Georgia" w:hAnsi="Georgia"/>
          <w:i/>
          <w:iCs/>
          <w:color w:val="555555"/>
          <w:sz w:val="22"/>
          <w:szCs w:val="22"/>
        </w:rPr>
        <w:t xml:space="preserve">A concise assessment of the existential AI narrative — examining the technical flaws, economic incentives, real-world harms, and a practical regulatory framework for accountability.</w:t>
      </w:r>
    </w:p>
    <w:p>
      <w:pPr>
        <w:pBdr>
          <w:bottom w:val="single" w:color="B8860B" w:sz="8" w:space="1"/>
        </w:pBdr>
        <w:spacing w:after="240" w:before="60"/>
      </w:pPr>
      <w:r>
        <w:rPr>
          <w:sz w:val="2"/>
          <w:szCs w:val="2"/>
        </w:rPr>
        <w:t xml:space="preserve"/>
      </w:r>
    </w:p>
    <w:p>
      <w:pPr>
        <w:spacing w:after="60" w:before="300"/>
      </w:pPr>
      <w:r>
        <w:rPr>
          <w:rFonts w:ascii="Arial" w:cs="Arial" w:eastAsia="Arial" w:hAnsi="Arial"/>
          <w:b/>
          <w:bCs/>
          <w:color w:val="1A1A1A"/>
          <w:sz w:val="24"/>
          <w:szCs w:val="24"/>
        </w:rPr>
        <w:t xml:space="preserve">Pawan Bhatia</w:t>
      </w:r>
    </w:p>
    <w:p>
      <w:pPr>
        <w:spacing w:after="60" w:before="0"/>
      </w:pPr>
      <w:r>
        <w:rPr>
          <w:rFonts w:ascii="Arial" w:cs="Arial" w:eastAsia="Arial" w:hAnsi="Arial"/>
          <w:color w:val="555555"/>
          <w:sz w:val="20"/>
          <w:szCs w:val="20"/>
        </w:rPr>
        <w:t xml:space="preserve">NextGen Economics · Bangalore, India</w:t>
      </w:r>
    </w:p>
    <w:p>
      <w:pPr>
        <w:spacing w:after="400" w:before="0"/>
      </w:pPr>
      <w:r>
        <w:rPr>
          <w:rFonts w:ascii="Arial" w:cs="Arial" w:eastAsia="Arial" w:hAnsi="Arial"/>
          <w:color w:val="555555"/>
          <w:sz w:val="20"/>
          <w:szCs w:val="20"/>
        </w:rPr>
        <w:t xml:space="preserve">July 2026</w:t>
      </w:r>
    </w:p>
    <w:p>
      <w:r>
        <w:br w:type="page"/>
      </w:r>
    </w:p>
    <w:p>
      <w:pPr>
        <w:pBdr>
          <w:top w:val="single" w:color="D4D0C8" w:sz="4"/>
          <w:bottom w:val="single" w:color="D4D0C8" w:sz="4"/>
          <w:right w:val="none"/>
        </w:pBdr>
        <w:shd w:fill="F3F0E8" w:val="clear"/>
        <w:spacing w:after="200" w:before="0"/>
      </w:pPr>
      <w:r>
        <w:rPr>
          <w:rFonts w:ascii="Arial" w:cs="Arial" w:eastAsia="Arial" w:hAnsi="Arial"/>
          <w:i/>
          <w:iCs/>
          <w:color w:val="555555"/>
          <w:sz w:val="16"/>
          <w:szCs w:val="16"/>
        </w:rPr>
        <w:t xml:space="preserve">Compiled with the assistance of AI tools for data synthesis and drafting, and rigorously reviewed and verified by human subject matter experts.</w:t>
      </w:r>
    </w:p>
    <w:p>
      <w:pPr>
        <w:pStyle w:val="Heading1"/>
      </w:pPr>
      <w:r>
        <w:t xml:space="preserve">Abstract</w:t>
      </w:r>
    </w:p>
    <w:p>
      <w:pPr>
        <w:spacing w:after="200" w:line="320"/>
      </w:pPr>
      <w:r>
        <w:rPr>
          <w:rFonts w:ascii="Arial" w:cs="Arial" w:eastAsia="Arial" w:hAnsi="Arial"/>
          <w:sz w:val="22"/>
          <w:szCs w:val="22"/>
        </w:rPr>
        <w:t xml:space="preserve">In June 2026, the global AI safety discourse remains dominated by existential narratives: the risk that a future superintelligence might pursue goals misaligned with human welfare, potentially leading to human extinction. This white paper argues that existential AI risk discourse functions as a structural diversion — channeling attention and regulatory resources toward hypothetical threats while AI systems causing documented, measurable harm operate with minimal oversight. Whether individual actors promoting this narrative do so with strategic intent is a separate question; the structural effect is observable regardless of intent.</w:t>
      </w:r>
    </w:p>
    <w:p>
      <w:pPr>
        <w:spacing w:after="200" w:line="320"/>
      </w:pPr>
      <w:r>
        <w:rPr>
          <w:rFonts w:ascii="Arial" w:cs="Arial" w:eastAsia="Arial" w:hAnsi="Arial"/>
          <w:sz w:val="22"/>
          <w:szCs w:val="22"/>
        </w:rPr>
        <w:t xml:space="preserve">We assess five questions in turn: whether the technical case for existential risk is scientifically defensible; how the “hype cycle” of AI panic has been sustained and amplified; what real-world harms Narrow AI is already causing; whether a practical regulatory framework can address these harms; and where concrete adoption of such a framework is most likely to succeed.</w:t>
      </w:r>
    </w:p>
    <w:p>
      <w:pPr>
        <w:spacing w:after="200" w:line="320"/>
      </w:pPr>
      <w:r>
        <w:rPr>
          <w:rFonts w:ascii="Arial" w:cs="Arial" w:eastAsia="Arial" w:hAnsi="Arial"/>
          <w:sz w:val="22"/>
          <w:szCs w:val="22"/>
        </w:rPr>
        <w:t xml:space="preserve">We conclude that the existential narrative is technically unsound — current AI architectures (Transformers) show no empirical evidence of consciousness, desire, or self-awareness, and the mechanisms by which scaling alone could produce these properties remain entirely unspecified by AGI proponents. We further conclude that the real dangers are already here: algorithmic discrimination, ecological devastation, and the erosion of institutional trust.</w:t>
      </w:r>
    </w:p>
    <w:p>
      <w:pPr>
        <w:spacing w:after="200" w:line="320"/>
      </w:pPr>
      <w:r>
        <w:rPr>
          <w:rFonts w:ascii="Arial" w:cs="Arial" w:eastAsia="Arial" w:hAnsi="Arial"/>
          <w:sz w:val="22"/>
          <w:szCs w:val="22"/>
        </w:rPr>
        <w:t xml:space="preserve">Most critically, we find that the existential narrative is fully orthogonal to the actual determinants of AI harm: bias in training data, lack of transparency, absence of liability regimes, and unconstrained resource consumption. Relabeling AI risk as “existential” does not alter the structural factors that produce real harm.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CORE CLAIM</w:t>
            </w:r>
          </w:p>
          <w:p>
            <w:pPr>
              <w:spacing w:line="300"/>
            </w:pPr>
            <w:r>
              <w:rPr>
                <w:rFonts w:ascii="Arial" w:cs="Arial" w:eastAsia="Arial" w:hAnsi="Arial"/>
                <w:i/>
                <w:iCs/>
                <w:sz w:val="22"/>
                <w:szCs w:val="22"/>
              </w:rPr>
              <w:t xml:space="preserve">The existential fear of Artificial General Intelligence (AGI) is significantly overhyped — and that overhyping serves the interests of tech corporations seeking regulatory capture, investors seeking valuation premiums, and governments seeking to consolidate power. Meanwhile, Narrow AI is already causing measurable, documented harm in healthcare, criminal justice, employment, and the environment. The ghost is a distraction. The machine is the reality. Let us audit the machine.</w:t>
            </w:r>
          </w:p>
        </w:tc>
      </w:tr>
    </w:tbl>
    <w:p>
      <w:r>
        <w:br w:type="page"/>
      </w:r>
    </w:p>
    <w:p>
      <w:pPr>
        <w:pStyle w:val="Heading1"/>
      </w:pPr>
      <w:r>
        <w:t xml:space="preserve">1. The Thesis – The Convenient Boogeyman</w:t>
      </w:r>
    </w:p>
    <w:p>
      <w:pPr>
        <w:pStyle w:val="Heading2"/>
      </w:pPr>
      <w:r>
        <w:t xml:space="preserve">1.1 The Opening Gambit</w:t>
      </w:r>
    </w:p>
    <w:p>
      <w:pPr>
        <w:spacing w:after="200" w:line="320"/>
      </w:pPr>
      <w:r>
        <w:rPr>
          <w:rFonts w:ascii="Arial" w:cs="Arial" w:eastAsia="Arial" w:hAnsi="Arial"/>
          <w:sz w:val="22"/>
          <w:szCs w:val="22"/>
        </w:rPr>
        <w:t xml:space="preserve">In March of 2023, a letter circulated through the laboratories of Silicon Valley. Signed by over a thousand technologists, including the very architects of the large language models we now use daily, it called for an immediate six-month pause on training AI systems more powerful than GPT-4. The rationale was steeped in existential dread: these systems posed “profound risks to humanity,” and we risked losing control of a superintelligence that could, in a worst-case scenario, decide we were obsolete.</w:t>
      </w:r>
    </w:p>
    <w:p>
      <w:pPr>
        <w:spacing w:after="200" w:line="320"/>
      </w:pPr>
      <w:r>
        <w:rPr>
          <w:rFonts w:ascii="Arial" w:cs="Arial" w:eastAsia="Arial" w:hAnsi="Arial"/>
          <w:sz w:val="22"/>
          <w:szCs w:val="22"/>
        </w:rPr>
        <w:t xml:space="preserve">Within twelve months of that letter, every single signatory company had not only resumed training but had doubled their compute capacity. They raised tens of billions in new capital, citing the very same “existential risk” as the justification for their monopoly over safety.</w:t>
      </w:r>
    </w:p>
    <w:p>
      <w:pPr>
        <w:spacing w:after="200" w:line="320"/>
      </w:pPr>
      <w:r>
        <w:rPr>
          <w:rFonts w:ascii="Arial" w:cs="Arial" w:eastAsia="Arial" w:hAnsi="Arial"/>
          <w:sz w:val="22"/>
          <w:szCs w:val="22"/>
        </w:rPr>
        <w:t xml:space="preserve">Whether by design or by the self-reinforcing incentives of a hype cycle, the result is the same. This white paper posits a singular, uncomfortable thesis: the existential fear of Artificial General Intelligence (AGI) is significantly overstated relative to the evidence — and that overstatement functions as a distraction, drawing attention away from the unglamorous, deeply embedded, and profoundly damaging realities of Narrow AI that are already operational today. We are terrified of a ghost that does not yet exist, while we willingly hand the keys to our legal system, our healthcare, and our civic discourse to statistical machines that we do not understand and cannot control.</w:t>
      </w:r>
    </w:p>
    <w:p>
      <w:pPr>
        <w:pStyle w:val="Heading2"/>
      </w:pPr>
      <w:r>
        <w:t xml:space="preserve">1.2 Defining the Mirage</w:t>
      </w:r>
    </w:p>
    <w:p>
      <w:pPr>
        <w:spacing w:after="200" w:line="320"/>
      </w:pPr>
      <w:r>
        <w:rPr>
          <w:rFonts w:ascii="Arial" w:cs="Arial" w:eastAsia="Arial" w:hAnsi="Arial"/>
          <w:sz w:val="22"/>
          <w:szCs w:val="22"/>
        </w:rPr>
        <w:t xml:space="preserve">To understand why this fear is fake, we must first define what we are actually afraid of. The dominant narrative — popularized by figures like Eliezer Yudkowsky and echoed by mainstream media — posits the “Alignment Problem.” This is the idea that once an AI becomes superintelligent (smarter than the best human in every domain), it will pursue goals misaligned with human welfare. In its most cinematic form, it decides to exterminate us to achieve a sub-goal, such as acquiring more computational resources. This narrative hinges on three unproven assumptions:</w:t>
      </w:r>
    </w:p>
    <w:p>
      <w:pPr>
        <w:pStyle w:val="ListParagraph"/>
        <w:numPr>
          <w:ilvl w:val="0"/>
          <w:numId w:val="2"/>
        </w:numPr>
        <w:spacing w:after="120" w:line="300"/>
      </w:pPr>
      <w:r>
        <w:rPr>
          <w:rFonts w:ascii="Arial" w:cs="Arial" w:eastAsia="Arial" w:hAnsi="Arial"/>
          <w:sz w:val="22"/>
          <w:szCs w:val="22"/>
        </w:rPr>
        <w:t xml:space="preserve">The Scalar Fallacy: That simply increasing parameters, data, and compute will eventually yield consciousness, agency, and a desire for self-preservation.</w:t>
      </w:r>
    </w:p>
    <w:p>
      <w:pPr>
        <w:pStyle w:val="ListParagraph"/>
        <w:numPr>
          <w:ilvl w:val="0"/>
          <w:numId w:val="2"/>
        </w:numPr>
        <w:spacing w:after="120" w:line="300"/>
      </w:pPr>
      <w:r>
        <w:rPr>
          <w:rFonts w:ascii="Arial" w:cs="Arial" w:eastAsia="Arial" w:hAnsi="Arial"/>
          <w:sz w:val="22"/>
          <w:szCs w:val="22"/>
        </w:rPr>
        <w:t xml:space="preserve">The Monolithic Agent: That AGI will emerge as a singular, coherent entity with a unified will, rather than a diffuse network of specialized tools.</w:t>
      </w:r>
    </w:p>
    <w:p>
      <w:pPr>
        <w:pStyle w:val="ListParagraph"/>
        <w:numPr>
          <w:ilvl w:val="0"/>
          <w:numId w:val="2"/>
        </w:numPr>
        <w:spacing w:after="120" w:line="300"/>
      </w:pPr>
      <w:r>
        <w:rPr>
          <w:rFonts w:ascii="Arial" w:cs="Arial" w:eastAsia="Arial" w:hAnsi="Arial"/>
          <w:sz w:val="22"/>
          <w:szCs w:val="22"/>
        </w:rPr>
        <w:t xml:space="preserve">The Orthogonality Thesis: That intelligence and “goals” are independent variables — implying a machine can be infinitely smart but ruthlessly indifferent to human life.</w:t>
      </w:r>
    </w:p>
    <w:p>
      <w:pPr>
        <w:spacing w:after="200" w:line="320"/>
      </w:pPr>
      <w:r>
        <w:rPr>
          <w:rFonts w:ascii="Arial" w:cs="Arial" w:eastAsia="Arial" w:hAnsi="Arial"/>
          <w:sz w:val="22"/>
          <w:szCs w:val="22"/>
        </w:rPr>
        <w:t xml:space="preserve">This white paper argues that all three assumptions are insufficiently supported by current evidence. They extrapolate from science fiction rather than computer science. We have no empirical evidence that scaling a next-token-prediction engine produces intrinsic motivation. What we have is increasingly fluent language generation — which is genuinely impressive, but which remains categorically distinct from the goal-directed agency the AGI narrative requires.</w:t>
      </w:r>
    </w:p>
    <w:p>
      <w:pPr>
        <w:pStyle w:val="Heading2"/>
      </w:pPr>
      <w:r>
        <w:t xml:space="preserve">1.3 The Economics of Panic</w:t>
      </w:r>
    </w:p>
    <w:p>
      <w:pPr>
        <w:spacing w:after="200" w:line="320"/>
      </w:pPr>
      <w:r>
        <w:rPr>
          <w:rFonts w:ascii="Arial" w:cs="Arial" w:eastAsia="Arial" w:hAnsi="Arial"/>
          <w:sz w:val="22"/>
          <w:szCs w:val="22"/>
        </w:rPr>
        <w:t xml:space="preserve">Why, then, is this narrative so aggressively promoted? The answer lies in regulatory capture. When a technology is framed as an “existential threat,” governments are forced to act. They create emergency committees, draft sweeping legislation, and — crucially — they look to the only entities that understand the technology to write the rules. Those entities are the very tech giants who created it. By selling the fear of AGI, OpenAI, Google DeepMind, and Anthropic achieve three strategic victories:</w:t>
      </w:r>
    </w:p>
    <w:p>
      <w:pPr>
        <w:pStyle w:val="ListParagraph"/>
        <w:numPr>
          <w:ilvl w:val="0"/>
          <w:numId w:val="2"/>
        </w:numPr>
        <w:spacing w:after="120" w:line="300"/>
      </w:pPr>
      <w:r>
        <w:rPr>
          <w:rFonts w:ascii="Arial" w:cs="Arial" w:eastAsia="Arial" w:hAnsi="Arial"/>
          <w:sz w:val="22"/>
          <w:szCs w:val="22"/>
        </w:rPr>
        <w:t xml:space="preserve">The Moats of Safety: They argue that open-source AI is dangerous, effectively outlawing competition and entrenching their dominance.</w:t>
      </w:r>
    </w:p>
    <w:p>
      <w:pPr>
        <w:pStyle w:val="ListParagraph"/>
        <w:numPr>
          <w:ilvl w:val="0"/>
          <w:numId w:val="2"/>
        </w:numPr>
        <w:spacing w:after="120" w:line="300"/>
      </w:pPr>
      <w:r>
        <w:rPr>
          <w:rFonts w:ascii="Arial" w:cs="Arial" w:eastAsia="Arial" w:hAnsi="Arial"/>
          <w:sz w:val="22"/>
          <w:szCs w:val="22"/>
        </w:rPr>
        <w:t xml:space="preserve">The Valuation Premium: An existential technology warrants a trillion-dollar valuation. Fear attracts capital.</w:t>
      </w:r>
    </w:p>
    <w:p>
      <w:pPr>
        <w:pStyle w:val="ListParagraph"/>
        <w:numPr>
          <w:ilvl w:val="0"/>
          <w:numId w:val="2"/>
        </w:numPr>
        <w:spacing w:after="120" w:line="300"/>
      </w:pPr>
      <w:r>
        <w:rPr>
          <w:rFonts w:ascii="Arial" w:cs="Arial" w:eastAsia="Arial" w:hAnsi="Arial"/>
          <w:sz w:val="22"/>
          <w:szCs w:val="22"/>
        </w:rPr>
        <w:t xml:space="preserve">The Distraction: While regulators debate the hypothetical “right to life” of a future digital entity, these same corporations quietly deploy unregulated Narrow AI into public infrastructure, escaping scrutiny because it is deemed “too boring” to worry about.</w:t>
      </w:r>
    </w:p>
    <w:p>
      <w:pPr>
        <w:spacing w:after="200" w:line="320"/>
      </w:pPr>
      <w:r>
        <w:rPr>
          <w:rFonts w:ascii="Arial" w:cs="Arial" w:eastAsia="Arial" w:hAnsi="Arial"/>
          <w:sz w:val="22"/>
          <w:szCs w:val="22"/>
        </w:rPr>
        <w:t xml:space="preserve">The structural effect of the existential AI narrative is to project danger into a distant, theoretical future, thereby reducing pressure for accountability in the present. Whether this effect is the product of deliberate strategy or sincere belief is less relevant than the fact that it consistently benefits the same actors and consistently disadvantages governance of present harms.</w:t>
      </w:r>
    </w:p>
    <w:p>
      <w:pPr>
        <w:pStyle w:val="Heading2"/>
      </w:pPr>
      <w:r>
        <w:t xml:space="preserve">1.4 The Real Threat is Already Here</w:t>
      </w:r>
    </w:p>
    <w:p>
      <w:pPr>
        <w:spacing w:after="200" w:line="320"/>
      </w:pPr>
      <w:r>
        <w:rPr>
          <w:rFonts w:ascii="Arial" w:cs="Arial" w:eastAsia="Arial" w:hAnsi="Arial"/>
          <w:sz w:val="22"/>
          <w:szCs w:val="22"/>
        </w:rPr>
        <w:t xml:space="preserve">If the “Fake Fear” is the Terminator, the “Real Risk” is the algorithm quietly denying your mortgage application because you live in a specific zip code. It is the facial recognition system that misidentifies Black men at a 34% higher rate than white men, deployed without oversight in police precincts. It is the generative text model that hallucinates a court case in a legal brief, ruining a lawyer’s career. It is the relentless energy consumption of data centers, draining freshwater resources in drought-stricken regions to cool server racks. These are not hypothetical alignment issues. They are engineering failures, data failures, and governance failures. They require auditors, regulators, and legal accountability frameworks.</w:t>
      </w:r>
    </w:p>
    <w:p>
      <w:pPr>
        <w:pStyle w:val="Heading2"/>
      </w:pPr>
      <w:r>
        <w:t xml:space="preserve">1.5 The Roadmap of This Paper</w:t>
      </w:r>
    </w:p>
    <w:p>
      <w:pPr>
        <w:spacing w:after="200" w:line="320"/>
      </w:pPr>
      <w:r>
        <w:rPr>
          <w:rFonts w:ascii="Arial" w:cs="Arial" w:eastAsia="Arial" w:hAnsi="Arial"/>
          <w:sz w:val="22"/>
          <w:szCs w:val="22"/>
        </w:rPr>
        <w:t xml:space="preserve">This white paper proceeds in four parts:</w:t>
      </w:r>
    </w:p>
    <w:p>
      <w:pPr>
        <w:pStyle w:val="ListParagraph"/>
        <w:numPr>
          <w:ilvl w:val="0"/>
          <w:numId w:val="2"/>
        </w:numPr>
        <w:spacing w:after="120" w:line="300"/>
      </w:pPr>
      <w:r>
        <w:rPr>
          <w:rFonts w:ascii="Arial" w:cs="Arial" w:eastAsia="Arial" w:hAnsi="Arial"/>
          <w:sz w:val="22"/>
          <w:szCs w:val="22"/>
        </w:rPr>
        <w:t xml:space="preserve">Part I: The Anatomy of the Hype – We dissect the historical and psychological roots of the “Killer Robot” narrative and expose the lack of empirical evidence for AGI timelines.</w:t>
      </w:r>
    </w:p>
    <w:p>
      <w:pPr>
        <w:pStyle w:val="ListParagraph"/>
        <w:numPr>
          <w:ilvl w:val="0"/>
          <w:numId w:val="2"/>
        </w:numPr>
        <w:spacing w:after="120" w:line="300"/>
      </w:pPr>
      <w:r>
        <w:rPr>
          <w:rFonts w:ascii="Arial" w:cs="Arial" w:eastAsia="Arial" w:hAnsi="Arial"/>
          <w:sz w:val="22"/>
          <w:szCs w:val="22"/>
        </w:rPr>
        <w:t xml:space="preserve">Part II: The Technical Reality Check – We explain, in accessible terms, why current architectures (Transformers) provide no known mechanism for consciousness, agency, or intrinsic motivation, and why scaling alone does not obviously change this.</w:t>
      </w:r>
    </w:p>
    <w:p>
      <w:pPr>
        <w:pStyle w:val="ListParagraph"/>
        <w:numPr>
          <w:ilvl w:val="0"/>
          <w:numId w:val="2"/>
        </w:numPr>
        <w:spacing w:after="120" w:line="300"/>
      </w:pPr>
      <w:r>
        <w:rPr>
          <w:rFonts w:ascii="Arial" w:cs="Arial" w:eastAsia="Arial" w:hAnsi="Arial"/>
          <w:sz w:val="22"/>
          <w:szCs w:val="22"/>
        </w:rPr>
        <w:t xml:space="preserve">Part III: The Real Boring Dangers – We catalogue the actual, measurable harms of Narrow AI already affecting millions, from algorithmic bias to the energy crisis.</w:t>
      </w:r>
    </w:p>
    <w:p>
      <w:pPr>
        <w:pStyle w:val="ListParagraph"/>
        <w:numPr>
          <w:ilvl w:val="0"/>
          <w:numId w:val="2"/>
        </w:numPr>
        <w:spacing w:after="120" w:line="300"/>
      </w:pPr>
      <w:r>
        <w:rPr>
          <w:rFonts w:ascii="Arial" w:cs="Arial" w:eastAsia="Arial" w:hAnsi="Arial"/>
          <w:sz w:val="22"/>
          <w:szCs w:val="22"/>
        </w:rPr>
        <w:t xml:space="preserve">Part IV: A New Regulatory Framework – We propose concrete policies focused on transparency, liability, and energy caps.</w:t>
      </w:r>
    </w:p>
    <w:p>
      <w:pPr>
        <w:pStyle w:val="Heading2"/>
      </w:pPr>
      <w:r>
        <w:t xml:space="preserve">1.6 The Call to Action</w:t>
      </w:r>
    </w:p>
    <w:p>
      <w:pPr>
        <w:spacing w:after="200" w:line="320"/>
      </w:pPr>
      <w:r>
        <w:rPr>
          <w:rFonts w:ascii="Arial" w:cs="Arial" w:eastAsia="Arial" w:hAnsi="Arial"/>
          <w:sz w:val="22"/>
          <w:szCs w:val="22"/>
        </w:rPr>
        <w:t xml:space="preserve">The regulatory choices made in the next five years will determine whether AI systems deployed in public infrastructure are subject to meaningful accountability or continue to operate without adequate oversight. The framework proposed in this paper — transparency, liability, and sustainability — is available now. The question is whether it will be adopted before the harms it addresses become irreversible.</w:t>
      </w:r>
    </w:p>
    <w:p>
      <w:pPr>
        <w:spacing w:after="200" w:line="320"/>
      </w:pPr>
      <w:r>
        <w:rPr>
          <w:rFonts w:ascii="Arial" w:cs="Arial" w:eastAsia="Arial" w:hAnsi="Arial"/>
          <w:sz w:val="22"/>
          <w:szCs w:val="22"/>
        </w:rPr>
        <w:t xml:space="preserve">The future of AI is not a sci-fi thriller. It is a bureaucratic grind. And it is in that grind — in the fine print of datasets, the opacity of neural weights, and the emissions of server farms — that the actual fate of society will be decided. Let us stop fearing the ghost. Let us start auditing the machine.</w:t>
      </w:r>
    </w:p>
    <w:p>
      <w:pPr>
        <w:spacing w:after="200"/>
      </w:pPr>
      <w:r>
        <w:t xml:space="preserve"/>
      </w:r>
    </w:p>
    <w:p>
      <w:pPr>
        <w:pStyle w:val="Heading1"/>
      </w:pPr>
      <w:r>
        <w:t xml:space="preserve">2. The Anatomy of the AI Risk Narrative</w:t>
      </w:r>
    </w:p>
    <w:p>
      <w:pPr>
        <w:pStyle w:val="Heading2"/>
      </w:pPr>
      <w:r>
        <w:t xml:space="preserve">2.1 The Narrative Arc: From Asimov to Altman</w:t>
      </w:r>
    </w:p>
    <w:p>
      <w:pPr>
        <w:spacing w:after="200" w:line="320"/>
      </w:pPr>
      <w:r>
        <w:rPr>
          <w:rFonts w:ascii="Arial" w:cs="Arial" w:eastAsia="Arial" w:hAnsi="Arial"/>
          <w:sz w:val="22"/>
          <w:szCs w:val="22"/>
        </w:rPr>
        <w:t xml:space="preserve">Every great panic needs a mythology. For Artificial Intelligence, the mythology was written long before the first neural network was trained. It was penned by Isaac Asimov with his “Three Laws,” fleshed out by Philip K. Dick’s replicants, and cemented into the global psyche by James Cameron’s Terminator. The “Killer Robot” is the West’s favorite techno-fable. It is the Frankenstein complex repackaged for the digital age: we build a creation, it surpasses us, and it destroys us out of indifference or malice. This narrative is so deeply embedded in our cultural firmware that when a real technology begins to approach the appearance of intelligence, we reflexively project the fable onto it.</w:t>
      </w:r>
    </w:p>
    <w:p>
      <w:pPr>
        <w:spacing w:after="200" w:line="320"/>
      </w:pPr>
      <w:r>
        <w:rPr>
          <w:rFonts w:ascii="Arial" w:cs="Arial" w:eastAsia="Arial" w:hAnsi="Arial"/>
          <w:sz w:val="22"/>
          <w:szCs w:val="22"/>
        </w:rPr>
        <w:t xml:space="preserve">This is not purely a scientific reaction. It is in part a literary one. When OpenAI released ChatGPT in November 2022, the world did not see a highly sophisticated autocomplete engine. The world saw something that felt like the dawn of general intelligence. This perceptual bias — the human tendency to anthropomorphize anything that speaks fluently — is the fuel upon which the concern about AI risk runs. It is important to note that not all who hold these concerns are acting in bad faith. Some researchers — including Geoffrey Hinton, Stuart Russell, and others whose scientific contributions are beyond question — hold genuine, considered beliefs about long-term AI risk. The critique in this paper is directed at the structural incentives that amplify these concerns beyond what the evidence supports, not at the sincerity of every individual who holds them.</w:t>
      </w:r>
    </w:p>
    <w:p>
      <w:pPr>
        <w:pStyle w:val="Heading2"/>
      </w:pPr>
      <w:r>
        <w:t xml:space="preserve">2.2 The Key Episodes: A Chronology of Convenient Panic</w:t>
      </w:r>
    </w:p>
    <w:p>
      <w:pPr>
        <w:pStyle w:val="Heading3"/>
      </w:pPr>
      <w:r>
        <w:t xml:space="preserve">Episode 1: The Godfather’s Resignation (May 2023)</w:t>
      </w:r>
    </w:p>
    <w:p>
      <w:pPr>
        <w:spacing w:after="200" w:line="320"/>
      </w:pPr>
      <w:r>
        <w:rPr>
          <w:rFonts w:ascii="Arial" w:cs="Arial" w:eastAsia="Arial" w:hAnsi="Arial"/>
          <w:sz w:val="22"/>
          <w:szCs w:val="22"/>
        </w:rPr>
        <w:t xml:space="preserve">Dr. Geoffrey Hinton, often dubbed the “Godfather of AI,” resigned from Google and went on a media tour warning that AI could pose an existential threat to humanity. He spoke of machines developing “sub-goals” and the difficulty of stopping a superintelligence. The headlines were apocalyptic.</w:t>
      </w:r>
    </w:p>
    <w:p>
      <w:pPr>
        <w:spacing w:after="200" w:line="320"/>
      </w:pPr>
      <w:r>
        <w:rPr>
          <w:rFonts w:ascii="Arial" w:cs="Arial" w:eastAsia="Arial" w:hAnsi="Arial"/>
          <w:sz w:val="22"/>
          <w:szCs w:val="22"/>
        </w:rPr>
        <w:t xml:space="preserve">The Hidden Outcome: Hinton’s warnings were covered in over 10,000 global news articles. Simultaneously, Google stock saw a surge in investor confidence as the market interpreted the panic as validation that Google possessed the most powerful AI in existence. The narrative of “danger” translated directly into market dominance. Furthermore, Hinton’s new status as a “whistleblower” allowed him to command exorbitant speaking fees and advisory roles, while Google’s AI division received increased regulatory protection under the guise of “responsible stewardship.”</w:t>
      </w:r>
    </w:p>
    <w:p>
      <w:pPr>
        <w:pStyle w:val="Heading3"/>
      </w:pPr>
      <w:r>
        <w:t xml:space="preserve">Episode 2: The Pause Letter (March 2023)</w:t>
      </w:r>
    </w:p>
    <w:p>
      <w:pPr>
        <w:spacing w:after="200" w:line="320"/>
      </w:pPr>
      <w:r>
        <w:rPr>
          <w:rFonts w:ascii="Arial" w:cs="Arial" w:eastAsia="Arial" w:hAnsi="Arial"/>
          <w:sz w:val="22"/>
          <w:szCs w:val="22"/>
        </w:rPr>
        <w:t xml:space="preserve">The Future of Life Institute published an open letter titled “Pause Giant AI Experiments.” It garnered over 1,000 signatures, including Elon Musk, Steve Wozniak, and numerous AI researchers. The letter cited “profound risks to society and humanity.”</w:t>
      </w:r>
    </w:p>
    <w:p>
      <w:pPr>
        <w:spacing w:after="200" w:line="320"/>
      </w:pPr>
      <w:r>
        <w:rPr>
          <w:rFonts w:ascii="Arial" w:cs="Arial" w:eastAsia="Arial" w:hAnsi="Arial"/>
          <w:sz w:val="22"/>
          <w:szCs w:val="22"/>
        </w:rPr>
        <w:t xml:space="preserve">The Hidden Outcome: Within six months, every major signatory from the corporate sector had accelerated their AI development, not paused it. The letter served as a strategic moat. By publicly calling for a pause, these entities positioned themselves as the “responsible” actors, justifying their demands for federal licensing requirements. This effectively froze out open-source competitors like Meta’s LLaMA and Stability AI, who could not afford the lobbying costs. Whether or not the pause was sincere, its structural effect was to position established players as responsible stewards while making life harder for open-source competitors.</w:t>
      </w:r>
    </w:p>
    <w:p>
      <w:pPr>
        <w:pStyle w:val="Heading3"/>
      </w:pPr>
      <w:r>
        <w:t xml:space="preserve">Episode 3: The OpenAI Board Coup (November 2023)</w:t>
      </w:r>
    </w:p>
    <w:p>
      <w:pPr>
        <w:spacing w:after="200" w:line="320"/>
      </w:pPr>
      <w:r>
        <w:rPr>
          <w:rFonts w:ascii="Arial" w:cs="Arial" w:eastAsia="Arial" w:hAnsi="Arial"/>
          <w:sz w:val="22"/>
          <w:szCs w:val="22"/>
        </w:rPr>
        <w:t xml:space="preserve">Sam Altman was abruptly fired by OpenAI’s board, citing a lack of “candor” in his communications. The board’s stated concern was that Altman was moving too fast toward AGI without adequate safety protocols. Employees threatened to quit en masse; Microsoft swooped in; Altman was reinstated within five days.</w:t>
      </w:r>
    </w:p>
    <w:p>
      <w:pPr>
        <w:spacing w:after="200" w:line="320"/>
      </w:pPr>
      <w:r>
        <w:rPr>
          <w:rFonts w:ascii="Arial" w:cs="Arial" w:eastAsia="Arial" w:hAnsi="Arial"/>
          <w:sz w:val="22"/>
          <w:szCs w:val="22"/>
        </w:rPr>
        <w:t xml:space="preserve">The Hidden Outcome: The global media treated this as a fundamental conflict about the pace and safety of AI development. The board was framed as “AI Doomers”; Altman was framed as “Accelerationists.” But the actual conflict was a standard corporate power struggle regarding commercialization versus non-profit mandates. By wrapping the drama in existential language, OpenAI emerged stronger, with Microsoft solidifying its equity stake. The panic distracted investors from the fact that OpenAI had failed to disclose its revenue margins or the true cost of inference. The myth of AGI proximity shielded them from financial scrutiny.</w:t>
      </w:r>
    </w:p>
    <w:p>
      <w:pPr>
        <w:pStyle w:val="Heading2"/>
      </w:pPr>
      <w:r>
        <w:t xml:space="preserve">2.3 The Incentive Structure of Existential Framing</w:t>
      </w:r>
    </w:p>
    <w:p>
      <w:pPr>
        <w:spacing w:after="200" w:line="320"/>
      </w:pPr>
      <w:r>
        <w:rPr>
          <w:rFonts w:ascii="Arial" w:cs="Arial" w:eastAsia="Arial" w:hAnsi="Arial"/>
          <w:sz w:val="22"/>
          <w:szCs w:val="22"/>
        </w:rPr>
        <w:t xml:space="preserve">The analytically precise question is not whether individual actors sincerely believe existential AI risk is real — many demonstrably do, and sincerity does not disqualify an argument — but whether the incentive structure consistently rewards existential framing regardless of individual belief. The evidence for the structural effect is observable; the evidence for coordinated intent is not, and this paper does not claim it. What can be demonstrated is this: the organisations most vocal about existential AI risk are also those that benefit most from the regulatory environments that existential framing creates. That correlation is an observable fact. The causal mechanism is a reasonable inference from structural incentives. The intent of any individual actor — whether they are acting strategically or sincerely — is a question this paper explicitly leaves open, as intent cannot be demonstrated from observable behaviour alone.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000"/>
      </w:tblGrid>
      <w:tr>
        <w:trPr>
          <w:tblHeader/>
        </w:trPr>
        <w:tc>
          <w:tcPr>
            <w:tcW w:type="dxa" w:w="4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Stakeholder</w:t>
            </w:r>
          </w:p>
        </w:tc>
        <w:tc>
          <w:tcPr>
            <w:tcW w:type="dxa" w:w="5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Benefit of the “Fake Fear”</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Big Tech (OpenAI, Google, Anthropic)</w:t>
            </w:r>
          </w:p>
        </w:tc>
        <w:tc>
          <w:tcPr>
            <w:tcW w:type="dxa" w:w="5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Justifies extreme valuations; creates licensing moats; attracts top talent</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Venture Capital</w:t>
            </w:r>
          </w:p>
        </w:tc>
        <w:tc>
          <w:tcPr>
            <w:tcW w:type="dxa" w:w="5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“Impact investing” easier; longer timelines; larger checks</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Governments</w:t>
            </w:r>
          </w:p>
        </w:tc>
        <w:tc>
          <w:tcPr>
            <w:tcW w:type="dxa" w:w="5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Public funding for “safety”; consolidates power over citizens</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Academia</w:t>
            </w:r>
          </w:p>
        </w:tc>
        <w:tc>
          <w:tcPr>
            <w:tcW w:type="dxa" w:w="5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Research grants for unfalsifiable theories</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Media</w:t>
            </w:r>
          </w:p>
        </w:tc>
        <w:tc>
          <w:tcPr>
            <w:tcW w:type="dxa" w:w="5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Apocalyptic headlines generate exponential click-through revenue</w:t>
            </w:r>
          </w:p>
        </w:tc>
      </w:tr>
    </w:tbl>
    <w:p>
      <w:pPr>
        <w:spacing w:after="100"/>
      </w:pPr>
      <w:r>
        <w:t xml:space="preserve"/>
      </w:r>
    </w:p>
    <w:p>
      <w:pPr>
        <w:spacing w:after="200" w:line="320"/>
      </w:pPr>
      <w:r>
        <w:rPr>
          <w:rFonts w:ascii="Arial" w:cs="Arial" w:eastAsia="Arial" w:hAnsi="Arial"/>
          <w:sz w:val="22"/>
          <w:szCs w:val="22"/>
        </w:rPr>
        <w:t xml:space="preserve">No one in this ecosystem benefits from saying: “AI is just a statistical tool that is slightly better at pattern matching than last year.” That doesn’t raise billions. That doesn’t win elections. That doesn’t get tenure.</w:t>
      </w:r>
    </w:p>
    <w:p>
      <w:pPr>
        <w:pStyle w:val="Heading2"/>
      </w:pPr>
      <w:r>
        <w:t xml:space="preserve">2.4 The “P-Value” Pseudoscience</w:t>
      </w:r>
    </w:p>
    <w:p>
      <w:pPr>
        <w:spacing w:after="200" w:line="320"/>
      </w:pPr>
      <w:r>
        <w:rPr>
          <w:rFonts w:ascii="Arial" w:cs="Arial" w:eastAsia="Arial" w:hAnsi="Arial"/>
          <w:sz w:val="22"/>
          <w:szCs w:val="22"/>
        </w:rPr>
        <w:t xml:space="preserve">One of the most egregious elements of the Alignment Mirage is the proliferation of “p(doom)” metrics — the supposed percentage chance that AI will cause human extinction. Prominent researchers have publicly assigned figures ranging from 5% to 50%. These numbers are presented with the gravitas of statistical certainty. Yet they deserve scrutiny rather than acceptance.</w:t>
      </w:r>
    </w:p>
    <w:p>
      <w:pPr>
        <w:pStyle w:val="ListParagraph"/>
        <w:numPr>
          <w:ilvl w:val="0"/>
          <w:numId w:val="2"/>
        </w:numPr>
        <w:spacing w:after="120" w:line="300"/>
      </w:pPr>
      <w:r>
        <w:rPr>
          <w:rFonts w:ascii="Arial" w:cs="Arial" w:eastAsia="Arial" w:hAnsi="Arial"/>
          <w:sz w:val="22"/>
          <w:szCs w:val="22"/>
        </w:rPr>
        <w:t xml:space="preserve">We have exactly zero historical precedent for a superintelligent entity.</w:t>
      </w:r>
    </w:p>
    <w:p>
      <w:pPr>
        <w:pStyle w:val="ListParagraph"/>
        <w:numPr>
          <w:ilvl w:val="0"/>
          <w:numId w:val="2"/>
        </w:numPr>
        <w:spacing w:after="120" w:line="300"/>
      </w:pPr>
      <w:r>
        <w:rPr>
          <w:rFonts w:ascii="Arial" w:cs="Arial" w:eastAsia="Arial" w:hAnsi="Arial"/>
          <w:sz w:val="22"/>
          <w:szCs w:val="22"/>
        </w:rPr>
        <w:t xml:space="preserve">We have zero mathematical models that can predict the emergence of consciousness.</w:t>
      </w:r>
    </w:p>
    <w:p>
      <w:pPr>
        <w:pStyle w:val="ListParagraph"/>
        <w:numPr>
          <w:ilvl w:val="0"/>
          <w:numId w:val="2"/>
        </w:numPr>
        <w:spacing w:after="120" w:line="300"/>
      </w:pPr>
      <w:r>
        <w:rPr>
          <w:rFonts w:ascii="Arial" w:cs="Arial" w:eastAsia="Arial" w:hAnsi="Arial"/>
          <w:sz w:val="22"/>
          <w:szCs w:val="22"/>
        </w:rPr>
        <w:t xml:space="preserve">We have zero data points regarding the behavior of a god-like machine.</w:t>
      </w:r>
    </w:p>
    <w:p>
      <w:pPr>
        <w:spacing w:after="200" w:line="320"/>
      </w:pPr>
      <w:r>
        <w:rPr>
          <w:rFonts w:ascii="Arial" w:cs="Arial" w:eastAsia="Arial" w:hAnsi="Arial"/>
          <w:sz w:val="22"/>
          <w:szCs w:val="22"/>
        </w:rPr>
        <w:t xml:space="preserve">Assigning a probability to an event that has never occurred, is fundamentally undefined, and lacks a theoretical framework is not science. It is not a rigorous application of probability theory. Experts assigning probabilities to unprecedented events is legitimate in many domains — nuclear risk, pandemic preparedness, climate change. The problem with p(doom) is not probability assignment per se; it is the absence of a rigorous methodology, a reference class, or a falsifiable mechanism. These are not probabilities in any technical sense. They are expert intuitions, and they should be labelled as such.</w:t>
      </w:r>
    </w:p>
    <w:p>
      <w:pPr>
        <w:spacing w:after="200" w:line="320"/>
      </w:pPr>
      <w:r>
        <w:rPr>
          <w:rFonts w:ascii="Arial" w:cs="Arial" w:eastAsia="Arial" w:hAnsi="Arial"/>
          <w:sz w:val="22"/>
          <w:szCs w:val="22"/>
        </w:rPr>
        <w:t xml:space="preserve">As the philosopher Nassim Nicholas Taleb might argue, these p(doom) values are not based on “risk” (which can be modeled); they are based on “uncertainty” (which cannot). Using statistical language to describe existential uncertainty is a category error.</w:t>
      </w:r>
    </w:p>
    <w:p>
      <w:pPr>
        <w:pStyle w:val="Heading2"/>
      </w:pPr>
      <w:r>
        <w:t xml:space="preserve">2.5 The Convenient Shadow</w:t>
      </w:r>
    </w:p>
    <w:p>
      <w:pPr>
        <w:spacing w:after="200" w:line="320"/>
      </w:pPr>
      <w:r>
        <w:rPr>
          <w:rFonts w:ascii="Arial" w:cs="Arial" w:eastAsia="Arial" w:hAnsi="Arial"/>
          <w:sz w:val="22"/>
          <w:szCs w:val="22"/>
        </w:rPr>
        <w:t xml:space="preserve">There is a structural consequence worth examining directly. By concentrating public and regulatory attention on the hypothetical “AI takeover,” the existential narrative displaces attention from current, provable harms. This displacement occurs regardless of individual intent, and consistently benefits the same set of actors.</w:t>
      </w:r>
    </w:p>
    <w:p>
      <w:pPr>
        <w:pStyle w:val="ListParagraph"/>
        <w:numPr>
          <w:ilvl w:val="0"/>
          <w:numId w:val="2"/>
        </w:numPr>
        <w:spacing w:after="120" w:line="300"/>
      </w:pPr>
      <w:r>
        <w:rPr>
          <w:rFonts w:ascii="Arial" w:cs="Arial" w:eastAsia="Arial" w:hAnsi="Arial"/>
          <w:sz w:val="22"/>
          <w:szCs w:val="22"/>
        </w:rPr>
        <w:t xml:space="preserve">The Climate Cost: Training GPT-3 consumed approximately 1,287 megawatt-hours of electricity and emitted 552 tons of carbon dioxide (Patterson et al., 2021). GPT-4 and successor models’ carbon footprints have not been publicly disclosed by their developers. By discussing “extinction,” we ignore the tangible extinction of biodiversity caused by the energy demands of scaling.</w:t>
      </w:r>
    </w:p>
    <w:p>
      <w:pPr>
        <w:pStyle w:val="ListParagraph"/>
        <w:numPr>
          <w:ilvl w:val="0"/>
          <w:numId w:val="2"/>
        </w:numPr>
        <w:spacing w:after="120" w:line="300"/>
      </w:pPr>
      <w:r>
        <w:rPr>
          <w:rFonts w:ascii="Arial" w:cs="Arial" w:eastAsia="Arial" w:hAnsi="Arial"/>
          <w:sz w:val="22"/>
          <w:szCs w:val="22"/>
        </w:rPr>
        <w:t xml:space="preserve">The Water Crisis: A single conversation with ChatGPT (roughly 20–50 prompts) consumes a 500ml bottle of water for cooling. In drought-stricken regions where data centers are located, this is a direct, measurable harm to local communities. But “water usage” does not generate headlines.</w:t>
      </w:r>
    </w:p>
    <w:p>
      <w:pPr>
        <w:pStyle w:val="ListParagraph"/>
        <w:numPr>
          <w:ilvl w:val="0"/>
          <w:numId w:val="2"/>
        </w:numPr>
        <w:spacing w:after="120" w:line="300"/>
      </w:pPr>
      <w:r>
        <w:rPr>
          <w:rFonts w:ascii="Arial" w:cs="Arial" w:eastAsia="Arial" w:hAnsi="Arial"/>
          <w:sz w:val="22"/>
          <w:szCs w:val="22"/>
        </w:rPr>
        <w:t xml:space="preserve">The Mental Health Toll: Generative AI has already been weaponized to create non-consensual deepfake pornography and facilitate sophisticated phishing scams targeting the elderly. These are not “future” problems. These are today problems. They require police work, not philosophical debate.</w:t>
      </w:r>
    </w:p>
    <w:p>
      <w:pPr>
        <w:spacing w:after="200" w:line="320"/>
      </w:pPr>
      <w:r>
        <w:rPr>
          <w:rFonts w:ascii="Arial" w:cs="Arial" w:eastAsia="Arial" w:hAnsi="Arial"/>
          <w:sz w:val="22"/>
          <w:szCs w:val="22"/>
        </w:rPr>
        <w:t xml:space="preserve">By keeping the world terrified of a machine that might decide to kill us, the industry ensures we have no bandwidth left to regulate the machine that is already harming us.</w:t>
      </w:r>
    </w:p>
    <w:p>
      <w:pPr>
        <w:pStyle w:val="Heading2"/>
      </w:pPr>
      <w:r>
        <w:t xml:space="preserve">2.6 Conclusion of Chapter 2</w:t>
      </w:r>
    </w:p>
    <w:p>
      <w:pPr>
        <w:spacing w:after="200" w:line="320"/>
      </w:pPr>
      <w:r>
        <w:rPr>
          <w:rFonts w:ascii="Arial" w:cs="Arial" w:eastAsia="Arial" w:hAnsi="Arial"/>
          <w:sz w:val="22"/>
          <w:szCs w:val="22"/>
        </w:rPr>
        <w:t xml:space="preserve">The existential AI narrative is best understood not as a conspiracy but as a convergence of interests and genuine beliefs. Some researchers sincerely believe the risks are catastrophic and are right to say so. Some corporations have found that existential framing serves their regulatory interests and have amplified concerns accordingly. Some investors have found that apocalyptic valuations attract capital. Some journalists have found that existential headlines attract readers. These motivations are not identical — and conflating them does a disservice to the researchers who hold these views in good faith. What they share is a structural effect: the result, whatever the intent, is that existential AI risk receives vastly more attention than the documented, ongoing harms of Narrow AI already deployed in the world.</w:t>
      </w:r>
    </w:p>
    <w:p>
      <w:pPr>
        <w:spacing w:after="200" w:line="320"/>
      </w:pPr>
      <w:r>
        <w:rPr>
          <w:rFonts w:ascii="Arial" w:cs="Arial" w:eastAsia="Arial" w:hAnsi="Arial"/>
          <w:sz w:val="22"/>
          <w:szCs w:val="22"/>
        </w:rPr>
        <w:t xml:space="preserve">If we are to govern AI effectively, we must address both. The long-term risks deserve rigorous, methodologically honest research. The present harms demand immediate regulatory action. This paper argues that the balance is currently inverted — not that one concern should replace the other.</w:t>
      </w:r>
    </w:p>
    <w:p>
      <w:pPr>
        <w:spacing w:after="200"/>
      </w:pPr>
      <w:r>
        <w:t xml:space="preserve"/>
      </w:r>
    </w:p>
    <w:p>
      <w:pPr>
        <w:pStyle w:val="Heading1"/>
      </w:pPr>
      <w:r>
        <w:t xml:space="preserve">3. The Technical Reality Check – Why AGI is a Statistical Myth</w:t>
      </w:r>
    </w:p>
    <w:p>
      <w:pPr>
        <w:pStyle w:val="Heading2"/>
      </w:pPr>
      <w:r>
        <w:t xml:space="preserve">3.1 The Illusion of Understanding</w:t>
      </w:r>
    </w:p>
    <w:p>
      <w:pPr>
        <w:spacing w:after="200" w:line="320"/>
      </w:pPr>
      <w:r>
        <w:rPr>
          <w:rFonts w:ascii="Arial" w:cs="Arial" w:eastAsia="Arial" w:hAnsi="Arial"/>
          <w:sz w:val="22"/>
          <w:szCs w:val="22"/>
        </w:rPr>
        <w:t xml:space="preserve">There is a parlor trick that large language models perform exceptionally well. You feed them a complex prompt — say, a legal brief, a medical diagnosis, or a philosophical argument — and they return a response that is coherent, contextually relevant, and often startlingly fluent. To the average observer, this looks like understanding. To the techno-optimist, this looks like the spark of intelligence.</w:t>
      </w:r>
    </w:p>
    <w:p>
      <w:pPr>
        <w:spacing w:after="200" w:line="320"/>
      </w:pPr>
      <w:r>
        <w:rPr>
          <w:rFonts w:ascii="Arial" w:cs="Arial" w:eastAsia="Arial" w:hAnsi="Arial"/>
          <w:sz w:val="22"/>
          <w:szCs w:val="22"/>
        </w:rPr>
        <w:t xml:space="preserve">To the computer scientist, it looks like what it is: sophisticated statistical pattern matching operating over very large training corpora. The core technical question the AGI narrative must answer is how a system optimised to predict the next token acquires genuine understanding, agency, or motivation. That question has not been answered. A system can produce grammatically coherent, contextually appropriate language without having any model of the world that language describes — and current evidence suggests this is precisely what large language models do. The distinction between producing and understanding is the central technical issue this paper examines.</w:t>
      </w:r>
    </w:p>
    <w:p>
      <w:pPr>
        <w:spacing w:after="200" w:line="320"/>
      </w:pPr>
      <w:r>
        <w:rPr>
          <w:rFonts w:ascii="Arial" w:cs="Arial" w:eastAsia="Arial" w:hAnsi="Arial"/>
          <w:sz w:val="22"/>
          <w:szCs w:val="22"/>
        </w:rPr>
        <w:t xml:space="preserve">The architecture of every major AI system today — the Transformer — provides no empirically demonstrated mechanism by which genuine reasoning, consciousness, or intrinsic goal-formation could emerge from scaling alone. This paper does not claim future architectures cannot produce these properties; it observes that no current architecture demonstrably does, and that the mechanisms by which scaling alone would produce them remain unspecified.</w:t>
      </w:r>
    </w:p>
    <w:p>
      <w:pPr>
        <w:pStyle w:val="Heading2"/>
      </w:pPr>
      <w:r>
        <w:t xml:space="preserve">3.2 The Transformer Architecture: A Probability Engine</w:t>
      </w:r>
    </w:p>
    <w:p>
      <w:pPr>
        <w:spacing w:after="200" w:line="320"/>
      </w:pPr>
      <w:r>
        <w:rPr>
          <w:rFonts w:ascii="Arial" w:cs="Arial" w:eastAsia="Arial" w:hAnsi="Arial"/>
          <w:sz w:val="22"/>
          <w:szCs w:val="22"/>
        </w:rPr>
        <w:t xml:space="preserve">Every major AI system widely deployed today — ChatGPT, Claude, Gemini, Llama — is built upon an architecture introduced in a 2017 paper titled “Attention Is All You Need.” At its core, the Transformer is optimised to predict the next most probable token (word or sub-word) in a sequence, given all previous tokens. This is the mathematical foundation. The architecture has been extended and refined significantly since 2017 — with instruction tuning, reinforcement learning from human feedback, and retrieval augmentation — but the underlying operation remains prediction over learned probability distributions.</w:t>
      </w:r>
    </w:p>
    <w:p>
      <w:pPr>
        <w:spacing w:after="200" w:line="320"/>
      </w:pPr>
      <w:r>
        <w:rPr>
          <w:rFonts w:ascii="Arial" w:cs="Arial" w:eastAsia="Arial" w:hAnsi="Arial"/>
          <w:sz w:val="22"/>
          <w:szCs w:val="22"/>
        </w:rPr>
        <w:t xml:space="preserve">When you type a prompt, the model converts your words into numerical vectors (embeddings). It then applies a series of mathematical operations — matrix multiplications, attention mechanisms, and normalization layers — to calculate the probability distribution over its entire vocabulary. It selects the token with the highest probability (or samples from the distribution with some temperature parameter), appends it to the sequence, and repeats the process until it generates a stop token. This is, mathematically, a Markov chain of infinite order with a learned transition function. It is statistics, not cognition.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THE ATTENTION MECHANISM: PATTERN MATCHING, NOT REASONING</w:t>
            </w:r>
          </w:p>
          <w:p>
            <w:pPr>
              <w:spacing w:line="300"/>
            </w:pPr>
            <w:r>
              <w:rPr>
                <w:rFonts w:ascii="Arial" w:cs="Arial" w:eastAsia="Arial" w:hAnsi="Arial"/>
                <w:i/>
                <w:iCs/>
                <w:sz w:val="22"/>
                <w:szCs w:val="22"/>
              </w:rPr>
              <w:t xml:space="preserve">The secret sauce of the Transformer is the ‘Attention’ mechanism. This allows the model to weigh the relevance of every previous token when predicting the next one. For example, in the sentence ‘The cat sat on the mat because it was tired,’ the attention mechanism learns that ‘it’ probably refers to ‘cat,’ not ‘mat,’ based on patterns in its training data. This is powerful — it allows the model to capture long-range dependencies and complex linguistic structures. But it is still pattern matching. The model does not understand why the cat is tired. It has simply observed that in 37.4% of similar text fragments, the word ‘tired’ correlates with ‘cat’ in that syntactic position. The model is a map of human language, not the territory of human experience.</w:t>
            </w:r>
          </w:p>
        </w:tc>
      </w:tr>
    </w:tbl>
    <w:p>
      <w:pPr>
        <w:pStyle w:val="Heading2"/>
      </w:pPr>
      <w:r>
        <w:t xml:space="preserve">3.3 The Three Unproven Assumptions of AGI</w:t>
      </w:r>
    </w:p>
    <w:p>
      <w:pPr>
        <w:spacing w:after="200" w:line="320"/>
      </w:pPr>
      <w:r>
        <w:rPr>
          <w:rFonts w:ascii="Arial" w:cs="Arial" w:eastAsia="Arial" w:hAnsi="Arial"/>
          <w:sz w:val="22"/>
          <w:szCs w:val="22"/>
        </w:rPr>
        <w:t xml:space="preserve">Before examining these assumptions, it is worth acknowledging that serious researchers — not fringe figures — hold these views. Scholars like Nick Bostrom, Stuart Russell, and Geoffrey Hinton have made substantive arguments deserving substantive engagement, not dismissal. This paper engages with the arguments, not the people.</w:t>
      </w:r>
    </w:p>
    <w:p>
      <w:pPr>
        <w:spacing w:after="200" w:line="320"/>
      </w:pPr>
      <w:r>
        <w:rPr>
          <w:rFonts w:ascii="Arial" w:cs="Arial" w:eastAsia="Arial" w:hAnsi="Arial"/>
          <w:b/>
          <w:bCs/>
          <w:sz w:val="22"/>
          <w:szCs w:val="22"/>
        </w:rPr>
        <w:t xml:space="preserve">Assumption 1: Scaling Leads to Emergent Consciousness (The Scalar Fallacy)</w:t>
      </w:r>
    </w:p>
    <w:p>
      <w:pPr>
        <w:spacing w:after="200" w:line="320"/>
      </w:pPr>
      <w:r>
        <w:rPr>
          <w:rFonts w:ascii="Arial" w:cs="Arial" w:eastAsia="Arial" w:hAnsi="Arial"/>
          <w:sz w:val="22"/>
          <w:szCs w:val="22"/>
        </w:rPr>
        <w:t xml:space="preserve">The AGI narrative relies on the idea that if you make the model bigger (more parameters), feed it more data, and train it for longer, something qualitatively new will emerge. Consciousness, self-awareness, and goal-formation will “emerge” from the statistical noise, much as wetness emerges from hydrogen and oxygen molecules. This is a leap of faith, not a law of physics. We have precisely zero empirical evidence that increasing the scale of a next-token predictor yields anything other than more accurate next-token prediction.</w:t>
      </w:r>
    </w:p>
    <w:p>
      <w:pPr>
        <w:spacing w:after="200" w:line="320"/>
      </w:pPr>
      <w:r>
        <w:rPr>
          <w:rFonts w:ascii="Arial" w:cs="Arial" w:eastAsia="Arial" w:hAnsi="Arial"/>
          <w:sz w:val="22"/>
          <w:szCs w:val="22"/>
        </w:rPr>
        <w:t xml:space="preserve">Consider the counterfactual: GPT-2 (1.5 billion parameters) generated gibberish. GPT-3 (175 billion parameters) generated coherent paragraphs. GPT-4 (estimated 1.8 trillion parameters) generates remarkably fluent dialogue. This progression is linear: better statistics, better fluency. There is no discontinuous jump where the model suddenly expressed a preference for survival, exhibited frustration, or demonstrated a theory of mind. It simply became a better parrot. There is no known mathematical threshold where matrix multiplication transforms into sentience. To suggest otherwise is to confuse complexity with magic.</w:t>
      </w:r>
    </w:p>
    <w:p>
      <w:pPr>
        <w:spacing w:after="200" w:line="320"/>
      </w:pPr>
      <w:r>
        <w:rPr>
          <w:rFonts w:ascii="Arial" w:cs="Arial" w:eastAsia="Arial" w:hAnsi="Arial"/>
          <w:b/>
          <w:bCs/>
          <w:sz w:val="22"/>
          <w:szCs w:val="22"/>
        </w:rPr>
        <w:t xml:space="preserve">Assumption 2: AI Will Possess Agency and Desire (The Monolithic Agent Fallacy)</w:t>
      </w:r>
    </w:p>
    <w:p>
      <w:pPr>
        <w:spacing w:after="200" w:line="320"/>
      </w:pPr>
      <w:r>
        <w:rPr>
          <w:rFonts w:ascii="Arial" w:cs="Arial" w:eastAsia="Arial" w:hAnsi="Arial"/>
          <w:sz w:val="22"/>
          <w:szCs w:val="22"/>
        </w:rPr>
        <w:t xml:space="preserve">The AGI narrative posits a singular, unified entity — a “digital mind” that will have a coherent will, a desire for self-preservation, and the ability to plan across time horizons. This misunderstands how AI systems are actually deployed. Current AI is not a single agent; it is a tapestry of specialized modules. There is a vision model for image recognition, a language model for text generation, a retrieval model for fact-checking, and a reinforcement learning module for fine-tuning. These are stitched together by human-written orchestration code.</w:t>
      </w:r>
    </w:p>
    <w:p>
      <w:pPr>
        <w:spacing w:after="200" w:line="320"/>
      </w:pPr>
      <w:r>
        <w:rPr>
          <w:rFonts w:ascii="Arial" w:cs="Arial" w:eastAsia="Arial" w:hAnsi="Arial"/>
          <w:sz w:val="22"/>
          <w:szCs w:val="22"/>
        </w:rPr>
        <w:t xml:space="preserve">There is no “self” that unifies these components. There is no persistent memory across sessions (unless explicitly engineered). There is no survival instinct because there is no sense of self to preserve. An AI does not fear death because it does not know it is alive. The “monolithic agent” is a projection of human psychology onto statistical machinery. We see a unified voice in the chat interface; we assume a unified mind behind it. This is anthropomorphic bias, not technical reality.</w:t>
      </w:r>
    </w:p>
    <w:p>
      <w:pPr>
        <w:spacing w:after="200" w:line="320"/>
      </w:pPr>
      <w:r>
        <w:rPr>
          <w:rFonts w:ascii="Arial" w:cs="Arial" w:eastAsia="Arial" w:hAnsi="Arial"/>
          <w:b/>
          <w:bCs/>
          <w:sz w:val="22"/>
          <w:szCs w:val="22"/>
        </w:rPr>
        <w:t xml:space="preserve">Assumption 3: Intelligence and Goals are Orthogonal (The Orthogonality Thesis)</w:t>
      </w:r>
    </w:p>
    <w:p>
      <w:pPr>
        <w:spacing w:after="200" w:line="320"/>
      </w:pPr>
      <w:r>
        <w:rPr>
          <w:rFonts w:ascii="Arial" w:cs="Arial" w:eastAsia="Arial" w:hAnsi="Arial"/>
          <w:sz w:val="22"/>
          <w:szCs w:val="22"/>
        </w:rPr>
        <w:t xml:space="preserve">The philosopher Nick Bostrom argues that intelligence and final goals are independent variables — that a system can be arbitrarily intelligent while having any goal, including goals deeply hostile to human welfare. This is his Orthogonality Thesis, and it deserves more than dismissal. Bostrom’s strongest version of the argument is not that current AI systems have goals, but that sufficiently advanced AI systems will necessarily have instrumental sub-goals (acquiring resources, avoiding shutdown, preserving current goals) that could conflict with human welfare, regardless of what their terminal goals are. This is a coherent philosophical argument, not a science fiction scenario.</w:t>
      </w:r>
    </w:p>
    <w:p>
      <w:pPr>
        <w:spacing w:after="200" w:line="320"/>
      </w:pPr>
      <w:r>
        <w:rPr>
          <w:rFonts w:ascii="Arial" w:cs="Arial" w:eastAsia="Arial" w:hAnsi="Arial"/>
          <w:sz w:val="22"/>
          <w:szCs w:val="22"/>
        </w:rPr>
        <w:t xml:space="preserve">The substantive response addresses Bostrom’s argument in its strongest form. Bostrom’s claim is not that current AI systems have dangerous goals — he acknowledges they do not — but that sufficiently advanced systems would necessarily develop instrumental sub-goals (resource acquisition, self-preservation, goal preservation) regardless of their terminal goals. This is the convergent instrumental goals thesis, and it is more sophisticated than a simple assertion that AI will ‘decide to kill us.’</w:t>
      </w:r>
    </w:p>
    <w:p>
      <w:pPr>
        <w:spacing w:after="200" w:line="320"/>
      </w:pPr>
      <w:r>
        <w:rPr>
          <w:rFonts w:ascii="Arial" w:cs="Arial" w:eastAsia="Arial" w:hAnsi="Arial"/>
          <w:sz w:val="22"/>
          <w:szCs w:val="22"/>
        </w:rPr>
        <w:t xml:space="preserve">Three responses are offered. First, the convergent instrumental goals thesis applies to systems with terminal goals and the capacity to reason about instrumental pathways — neither of which current architectures possess in any demonstrated sense. The argument therefore applies to a hypothetical class of systems, and the pathway from current transformer architectures to that class remains empirically unspecified. Second, even granting that such systems are possible in principle, the conclusion that they will necessarily develop dangerous instrumental sub-goals does not follow without additional assumptions about the speed of capability development, the absence of effective oversight, and the failure of interpretability research to identify misaligned sub-goals before they become dangerous. These assumptions should be made explicit and examined, not treated as defaults. Third, the governance framework this paper proposes — interpretability research, capability monitoring, strict liability, transparency requirements — is substantially compatible with the precautionary approach Bostrom recommends. The disagreement is not about whether AI requires governance, but about which risks should receive priority attention given current evidence.</w:t>
      </w:r>
    </w:p>
    <w:p>
      <w:pPr>
        <w:pStyle w:val="Heading2"/>
      </w:pPr>
      <w:r>
        <w:t xml:space="preserve">3.4 The Emergence Question: The Strongest Counterargument</w:t>
      </w:r>
    </w:p>
    <w:p>
      <w:pPr>
        <w:spacing w:after="200" w:line="320"/>
      </w:pPr>
      <w:r>
        <w:rPr>
          <w:rFonts w:ascii="Arial" w:cs="Arial" w:eastAsia="Arial" w:hAnsi="Arial"/>
          <w:sz w:val="22"/>
          <w:szCs w:val="22"/>
        </w:rPr>
        <w:t xml:space="preserve">The most serious challenge to this paper’s technical argument is emergence — the well-documented phenomenon in complex systems whereby macro-level properties arise that are not predictable from or reducible to micro-level components. Water’s wetness is not a property of hydrogen or oxygen individually. Consciousness in biological organisms is not a property of individual neurons. The emergence argument applied to AI holds that intelligence, and potentially consciousness, might arise from the interactions of transformers at sufficient scale, even if no individual operation within the transformer exhibits these properties. This paper takes this argument seriously and acknowledges it cannot be dismissed.</w:t>
      </w:r>
    </w:p>
    <w:p>
      <w:pPr>
        <w:spacing w:after="200" w:line="320"/>
      </w:pPr>
      <w:r>
        <w:rPr>
          <w:rFonts w:ascii="Arial" w:cs="Arial" w:eastAsia="Arial" w:hAnsi="Arial"/>
          <w:sz w:val="22"/>
          <w:szCs w:val="22"/>
        </w:rPr>
        <w:t xml:space="preserve">Three responses are offered. First, the emergence argument is symmetrical: it is as difficult to demonstrate that consciousness will emerge from scale as it is to demonstrate it will not. The burden of proof lies with those who assert it will, and that burden has not been discharged. Second, emergence in natural systems occurs through evolutionary pressure, embodied experience, and feedback loops with a physical environment — none of which are present in transformer training. The analogy to biological consciousness is therefore weaker than it might appear. Third, even if some form of emergent property did arise from scaled transformers, there is no demonstrated reason why it would take the form of human-threatening goal-directed agency rather than, say, more sophisticated pattern recognition.</w:t>
      </w:r>
    </w:p>
    <w:p>
      <w:pPr>
        <w:spacing w:after="200" w:line="320"/>
      </w:pPr>
      <w:r>
        <w:rPr>
          <w:rFonts w:ascii="Arial" w:cs="Arial" w:eastAsia="Arial" w:hAnsi="Arial"/>
          <w:sz w:val="22"/>
          <w:szCs w:val="22"/>
        </w:rPr>
        <w:t xml:space="preserve">This paper’s position is therefore not that emergence is impossible in AI systems. It is that the specific form of emergence posited by AGI risk proponents — goal-directed agency hostile to human welfare — is unsupported by any mechanism we currently understand. The claim “current systems lack consciousness” is well-evidenced. The claim “future systems cannot have it” is not one this paper makes.</w:t>
      </w:r>
    </w:p>
    <w:p>
      <w:pPr>
        <w:pStyle w:val="Heading2"/>
      </w:pPr>
      <w:r>
        <w:t xml:space="preserve">3.4.1 The Recursive Self-Improvement Argument</w:t>
      </w:r>
    </w:p>
    <w:p>
      <w:pPr>
        <w:spacing w:after="200" w:line="320"/>
      </w:pPr>
      <w:r>
        <w:rPr>
          <w:rFonts w:ascii="Arial" w:cs="Arial" w:eastAsia="Arial" w:hAnsi="Arial"/>
          <w:sz w:val="22"/>
          <w:szCs w:val="22"/>
        </w:rPr>
        <w:t xml:space="preserve">A related argument deserves explicit treatment: recursive self-improvement, or the idea that a sufficiently capable AI system could iteratively improve its own intelligence, leading to a rapid and uncontrolled intelligence explosion. This argument, associated with I.J. Good and elaborated by Bostrom and others, is distinct from the scaling argument. It does not claim that simply training larger models produces AGI; it claims that once a system reaches a threshold of capability, it could redesign itself to become dramatically more capable in a short period.</w:t>
      </w:r>
    </w:p>
    <w:p>
      <w:pPr>
        <w:spacing w:after="200" w:line="320"/>
      </w:pPr>
      <w:r>
        <w:rPr>
          <w:rFonts w:ascii="Arial" w:cs="Arial" w:eastAsia="Arial" w:hAnsi="Arial"/>
          <w:sz w:val="22"/>
          <w:szCs w:val="22"/>
        </w:rPr>
        <w:t xml:space="preserve">This paper’s response to the recursive self-improvement argument has three parts. First, no current system demonstrates the capability for meaningful self-redesign. The ability to write code does not constitute the ability to redesign one’s own architecture in ways that improve intelligence — a category error analogous to confusing the ability to read a recipe with the ability to redesign a kitchen. Second, recursive self-improvement assumes a smooth capability landscape in which small improvements in intelligence lead to correspondingly improved ability to improve intelligence. This assumption is not established and conflicts with what we know about specialisation — intelligence in one domain does not automatically transfer to all others. Third, and most importantly, recursive self-improvement is precisely the kind of capability that safety research should focus on detecting and controlling. The existence of the argument strengthens the case for ongoing capability monitoring, interpretability research, and international coordination on AI development — all of which this paper supports. It does not strengthen the case for treating current systems as already dangerous, or for the regulatory capture that the existential narrative has enabled.</w:t>
      </w:r>
    </w:p>
    <w:p>
      <w:pPr>
        <w:pStyle w:val="Heading2"/>
      </w:pPr>
      <w:r>
        <w:t xml:space="preserve">3.5 The Embodiment Problem</w:t>
      </w:r>
    </w:p>
    <w:p>
      <w:pPr>
        <w:spacing w:after="200" w:line="320"/>
      </w:pPr>
      <w:r>
        <w:rPr>
          <w:rFonts w:ascii="Arial" w:cs="Arial" w:eastAsia="Arial" w:hAnsi="Arial"/>
          <w:sz w:val="22"/>
          <w:szCs w:val="22"/>
        </w:rPr>
        <w:t xml:space="preserve">There is a school of thought in cognitive science — embodied cognition — which argues that intelligence cannot be divorced from physical interaction with the world. A mind without a body cannot learn concepts like “heat,” “weight,” “pain,” or “danger” because it has never experienced them. Current AI systems are disembodied. They exist in the cloud, receiving inputs as numerical vectors and producing outputs as numerical vectors. They have no sensory organs, no motor functions, and no causal interaction with the physical world (unless connected to a robotic actuator, which very few are).</w:t>
      </w:r>
    </w:p>
    <w:p>
      <w:pPr>
        <w:spacing w:after="200" w:line="320"/>
      </w:pPr>
      <w:r>
        <w:rPr>
          <w:rFonts w:ascii="Arial" w:cs="Arial" w:eastAsia="Arial" w:hAnsi="Arial"/>
          <w:sz w:val="22"/>
          <w:szCs w:val="22"/>
        </w:rPr>
        <w:t xml:space="preserve">This is not a minor limitation. It is a fundamental epistemological barrier.</w:t>
      </w:r>
    </w:p>
    <w:p>
      <w:pPr>
        <w:pStyle w:val="ListParagraph"/>
        <w:numPr>
          <w:ilvl w:val="0"/>
          <w:numId w:val="2"/>
        </w:numPr>
        <w:spacing w:after="120" w:line="300"/>
      </w:pPr>
      <w:r>
        <w:rPr>
          <w:rFonts w:ascii="Arial" w:cs="Arial" w:eastAsia="Arial" w:hAnsi="Arial"/>
          <w:sz w:val="22"/>
          <w:szCs w:val="22"/>
        </w:rPr>
        <w:t xml:space="preserve">How can an AI understand “death” if it has never experienced the cessation of function?</w:t>
      </w:r>
    </w:p>
    <w:p>
      <w:pPr>
        <w:pStyle w:val="ListParagraph"/>
        <w:numPr>
          <w:ilvl w:val="0"/>
          <w:numId w:val="2"/>
        </w:numPr>
        <w:spacing w:after="120" w:line="300"/>
      </w:pPr>
      <w:r>
        <w:rPr>
          <w:rFonts w:ascii="Arial" w:cs="Arial" w:eastAsia="Arial" w:hAnsi="Arial"/>
          <w:sz w:val="22"/>
          <w:szCs w:val="22"/>
        </w:rPr>
        <w:t xml:space="preserve">How can an AI understand “pain” if it has no nociceptors?</w:t>
      </w:r>
    </w:p>
    <w:p>
      <w:pPr>
        <w:pStyle w:val="ListParagraph"/>
        <w:numPr>
          <w:ilvl w:val="0"/>
          <w:numId w:val="2"/>
        </w:numPr>
        <w:spacing w:after="120" w:line="300"/>
      </w:pPr>
      <w:r>
        <w:rPr>
          <w:rFonts w:ascii="Arial" w:cs="Arial" w:eastAsia="Arial" w:hAnsi="Arial"/>
          <w:sz w:val="22"/>
          <w:szCs w:val="22"/>
        </w:rPr>
        <w:t xml:space="preserve">How can an AI understand “power” if it has never struggled for resources?</w:t>
      </w:r>
    </w:p>
    <w:p>
      <w:pPr>
        <w:spacing w:after="200" w:line="320"/>
      </w:pPr>
      <w:r>
        <w:rPr>
          <w:rFonts w:ascii="Arial" w:cs="Arial" w:eastAsia="Arial" w:hAnsi="Arial"/>
          <w:sz w:val="22"/>
          <w:szCs w:val="22"/>
        </w:rPr>
        <w:t xml:space="preserve">The AGI narrative treats intelligence as a pure information-processing phenomenon, independent of embodiment. This is Cartesian dualism repackaged for the digital age. It is philosophy, not science. And it is almost certainly wrong.</w:t>
      </w:r>
    </w:p>
    <w:p>
      <w:pPr>
        <w:pStyle w:val="Heading2"/>
      </w:pPr>
      <w:r>
        <w:t xml:space="preserve">3.6 The Hallucination Problem as Evidence</w:t>
      </w:r>
    </w:p>
    <w:p>
      <w:pPr>
        <w:spacing w:after="200" w:line="320"/>
      </w:pPr>
      <w:r>
        <w:rPr>
          <w:rFonts w:ascii="Arial" w:cs="Arial" w:eastAsia="Arial" w:hAnsi="Arial"/>
          <w:sz w:val="22"/>
          <w:szCs w:val="22"/>
        </w:rPr>
        <w:t xml:space="preserve">There is a phenomenon that reveals the deep-seated limitations of current AI: hallucination. When a model confidently asserts a falsehood — citing a court case that does not exist, inventing a historical event, or providing a medical dosage that is lethal — it is not lying. It does not know it is lying. It has no concept of truth or falsehood. It is simply maximizing probability.</w:t>
      </w:r>
    </w:p>
    <w:p>
      <w:pPr>
        <w:spacing w:after="200" w:line="320"/>
      </w:pPr>
      <w:r>
        <w:rPr>
          <w:rFonts w:ascii="Arial" w:cs="Arial" w:eastAsia="Arial" w:hAnsi="Arial"/>
          <w:sz w:val="22"/>
          <w:szCs w:val="22"/>
        </w:rPr>
        <w:t xml:space="preserve">A conscious entity that “knew” something would not hallucinate with such confidence. A model that “understood” the world would be able to distinguish between a plausible sequence and a factually accurate one. But Transformers lack that distinction. They operate entirely in the space of linguistic plausibility.</w:t>
      </w:r>
    </w:p>
    <w:p>
      <w:pPr>
        <w:spacing w:after="200" w:line="320"/>
      </w:pPr>
      <w:r>
        <w:rPr>
          <w:rFonts w:ascii="Arial" w:cs="Arial" w:eastAsia="Arial" w:hAnsi="Arial"/>
          <w:sz w:val="22"/>
          <w:szCs w:val="22"/>
        </w:rPr>
        <w:t xml:space="preserve">Hallucinations are not a bug that can be fixed; they are a feature of statistical pattern matching. You cannot train a model to “know” the truth because the model has no access to truth — only to text. The only way to reduce hallucinations is to curate training data more carefully and implement retrieval-augmented generation (RAG), which forces the model to reference external databases. But this is a crutch, not a cure. If a system cannot reliably distinguish reality from fiction, it is not intelligent. It is a highly sophisticated text generator.</w:t>
      </w:r>
    </w:p>
    <w:p>
      <w:pPr>
        <w:pStyle w:val="Heading2"/>
      </w:pPr>
      <w:r>
        <w:t xml:space="preserve">3.7 The Timeline Fallacy</w:t>
      </w:r>
    </w:p>
    <w:p>
      <w:pPr>
        <w:spacing w:after="200" w:line="320"/>
      </w:pPr>
      <w:r>
        <w:rPr>
          <w:rFonts w:ascii="Arial" w:cs="Arial" w:eastAsia="Arial" w:hAnsi="Arial"/>
          <w:sz w:val="22"/>
          <w:szCs w:val="22"/>
        </w:rPr>
        <w:t xml:space="preserve">When AGI proponents predict that we will achieve superintelligence within 5, 10, or 20 years, they are making a forecast based on nothing but intuition. There is no empirical curve to extrapolate because we have not achieved AGI yet. The history of AI is littered with failed predictions:</w:t>
      </w:r>
    </w:p>
    <w:p>
      <w:pPr>
        <w:pStyle w:val="ListParagraph"/>
        <w:numPr>
          <w:ilvl w:val="0"/>
          <w:numId w:val="2"/>
        </w:numPr>
        <w:spacing w:after="120" w:line="300"/>
      </w:pPr>
      <w:r>
        <w:rPr>
          <w:rFonts w:ascii="Arial" w:cs="Arial" w:eastAsia="Arial" w:hAnsi="Arial"/>
          <w:sz w:val="22"/>
          <w:szCs w:val="22"/>
        </w:rPr>
        <w:t xml:space="preserve">In 1956, John McCarthy predicted that AI would be solved in a decade.</w:t>
      </w:r>
    </w:p>
    <w:p>
      <w:pPr>
        <w:pStyle w:val="ListParagraph"/>
        <w:numPr>
          <w:ilvl w:val="0"/>
          <w:numId w:val="2"/>
        </w:numPr>
        <w:spacing w:after="120" w:line="300"/>
      </w:pPr>
      <w:r>
        <w:rPr>
          <w:rFonts w:ascii="Arial" w:cs="Arial" w:eastAsia="Arial" w:hAnsi="Arial"/>
          <w:sz w:val="22"/>
          <w:szCs w:val="22"/>
        </w:rPr>
        <w:t xml:space="preserve">In 1970, Marvin Minsky said, “In from three to eight years we will have a machine with the general intelligence of an average human being.”</w:t>
      </w:r>
    </w:p>
    <w:p>
      <w:pPr>
        <w:pStyle w:val="ListParagraph"/>
        <w:numPr>
          <w:ilvl w:val="0"/>
          <w:numId w:val="2"/>
        </w:numPr>
        <w:spacing w:after="120" w:line="300"/>
      </w:pPr>
      <w:r>
        <w:rPr>
          <w:rFonts w:ascii="Arial" w:cs="Arial" w:eastAsia="Arial" w:hAnsi="Arial"/>
          <w:sz w:val="22"/>
          <w:szCs w:val="22"/>
        </w:rPr>
        <w:t xml:space="preserve">In 1990, Ray Kurzweil predicted AGI by 2020.</w:t>
      </w:r>
    </w:p>
    <w:p>
      <w:pPr>
        <w:spacing w:after="200" w:line="320"/>
      </w:pPr>
      <w:r>
        <w:rPr>
          <w:rFonts w:ascii="Arial" w:cs="Arial" w:eastAsia="Arial" w:hAnsi="Arial"/>
          <w:sz w:val="22"/>
          <w:szCs w:val="22"/>
        </w:rPr>
        <w:t xml:space="preserve">Each prediction was wrong. Each prediction was based on the same error: extrapolating linear progress in a specific subdomain (chess, image recognition, language modeling) to general intelligence. But chess-playing does not lead to consciousness. Language modeling does not lead to reasoning. These are narrow capabilities in specific domains, not indicators of progress toward general intelligence.</w:t>
      </w:r>
    </w:p>
    <w:p>
      <w:pPr>
        <w:pStyle w:val="Heading2"/>
      </w:pPr>
      <w:r>
        <w:t xml:space="preserve">3.8 Conclusion of Chapter 3</w:t>
      </w:r>
    </w:p>
    <w:p>
      <w:pPr>
        <w:spacing w:after="200" w:line="320"/>
      </w:pPr>
      <w:r>
        <w:rPr>
          <w:rFonts w:ascii="Arial" w:cs="Arial" w:eastAsia="Arial" w:hAnsi="Arial"/>
          <w:sz w:val="22"/>
          <w:szCs w:val="22"/>
        </w:rPr>
        <w:t xml:space="preserve">The technical reality is sobering for the AGI narrative. The systems we have built show no evidence of consciousness, desire, or self-awareness, and no credible mechanism has been proposed by which scaling alone would produce these properties. They are probability distributions encoded in neural weights. They are tools. Sophisticated tools, yes. But tools nonetheless.</w:t>
      </w:r>
    </w:p>
    <w:p>
      <w:pPr>
        <w:spacing w:after="200" w:line="320"/>
      </w:pPr>
      <w:r>
        <w:rPr>
          <w:rFonts w:ascii="Arial" w:cs="Arial" w:eastAsia="Arial" w:hAnsi="Arial"/>
          <w:sz w:val="22"/>
          <w:szCs w:val="22"/>
        </w:rPr>
        <w:t xml:space="preserve">The belief that scaling these tools will produce general intelligence goes beyond what the current evidence supports. It projects human traits onto statistical machinery and risks mistaking fluency for understanding — an error that is understandable given how convincing modern language models sound, but that does not survive careful technical scrutiny.</w:t>
      </w:r>
    </w:p>
    <w:p>
      <w:pPr>
        <w:spacing w:after="200" w:line="320"/>
      </w:pPr>
      <w:r>
        <w:rPr>
          <w:rFonts w:ascii="Arial" w:cs="Arial" w:eastAsia="Arial" w:hAnsi="Arial"/>
          <w:sz w:val="22"/>
          <w:szCs w:val="22"/>
        </w:rPr>
        <w:t xml:space="preserve">The AGI narrative is not a technological inevitability; the evidence reviewed in this section does not support it. The more productive question is not whether AGI will arrive but how to govern AI systems that are already causing measurable harm. The next two sections address that question directly.</w:t>
      </w:r>
    </w:p>
    <w:p>
      <w:pPr>
        <w:spacing w:after="200"/>
      </w:pPr>
      <w:r>
        <w:t xml:space="preserve"/>
      </w:r>
    </w:p>
    <w:p>
      <w:pPr>
        <w:pStyle w:val="Heading1"/>
      </w:pPr>
      <w:r>
        <w:t xml:space="preserve">4. The Real Boring Dangers – Algorithmic Bias, Energy Collapse, and the Erosion of Trust</w:t>
      </w:r>
    </w:p>
    <w:p>
      <w:pPr>
        <w:pStyle w:val="Heading2"/>
      </w:pPr>
      <w:r>
        <w:t xml:space="preserve">4.1 The Invisible Harm</w:t>
      </w:r>
    </w:p>
    <w:p>
      <w:pPr>
        <w:spacing w:after="200" w:line="320"/>
      </w:pPr>
      <w:r>
        <w:rPr>
          <w:rFonts w:ascii="Arial" w:cs="Arial" w:eastAsia="Arial" w:hAnsi="Arial"/>
          <w:sz w:val="22"/>
          <w:szCs w:val="22"/>
        </w:rPr>
        <w:t xml:space="preserve">While pundits debate whether a future superintelligence might decide to exterminate humanity, existing AI systems are quietly, systematically, and measurably harming millions of people today. These harms are not speculative. They are documented, quantified, and replicated across multiple independent studies. They do not require a singularity. They require only flawed data, unrepresentative training sets, and the absence of regulatory oversight.</w:t>
      </w:r>
    </w:p>
    <w:p>
      <w:pPr>
        <w:spacing w:after="200" w:line="320"/>
      </w:pPr>
      <w:r>
        <w:rPr>
          <w:rFonts w:ascii="Arial" w:cs="Arial" w:eastAsia="Arial" w:hAnsi="Arial"/>
          <w:sz w:val="22"/>
          <w:szCs w:val="22"/>
        </w:rPr>
        <w:t xml:space="preserve">The danger of Narrow AI is not that it is malevolent. It is that it is banal. It is embedded in the mundane machinery of daily life — hiring platforms, healthcare triage systems, mortgage underwriting algorithms, and criminal risk assessments. And because these systems operate at scale, their biases are amplified exponentially. A human recruiter can make two or three biased decisions in a day. An algorithm can make thousands in a second. This chapter catalogues three categories of real, ongoing harm: Algorithmic Discrimination, Ecological Devastation, and The Erosion of Institutional Trust.</w:t>
      </w:r>
    </w:p>
    <w:p>
      <w:pPr>
        <w:pStyle w:val="Heading2"/>
      </w:pPr>
      <w:r>
        <w:t xml:space="preserve">4.2 Algorithmic Discrimination: The New Face of Systemic Inequality</w:t>
      </w:r>
    </w:p>
    <w:p>
      <w:pPr>
        <w:spacing w:after="200" w:line="320"/>
      </w:pPr>
      <w:r>
        <w:rPr>
          <w:rFonts w:ascii="Arial" w:cs="Arial" w:eastAsia="Arial" w:hAnsi="Arial"/>
          <w:sz w:val="22"/>
          <w:szCs w:val="22"/>
        </w:rPr>
        <w:t xml:space="preserve">AI systems do not invent prejudice. They inherit it. They are trained on the accumulated textual and visual record of human history — a record saturated with racism, sexism, casteism, and every other form of social hierarchy. The algorithms then encode these prejudices into statistical weights, rendering discrimination efficient, scalable, and invisible.</w:t>
      </w:r>
    </w:p>
    <w:p>
      <w:pPr>
        <w:pStyle w:val="Heading3"/>
      </w:pPr>
      <w:r>
        <w:t xml:space="preserve">4.2.1 The Caste Bias in Generative AI</w:t>
      </w:r>
    </w:p>
    <w:p>
      <w:pPr>
        <w:spacing w:after="200" w:line="320"/>
      </w:pPr>
      <w:r>
        <w:rPr>
          <w:rFonts w:ascii="Arial" w:cs="Arial" w:eastAsia="Arial" w:hAnsi="Arial"/>
          <w:sz w:val="22"/>
          <w:szCs w:val="22"/>
        </w:rPr>
        <w:t xml:space="preserve">Consider India, OpenAI’s second-largest market. An investigation by MIT Technology Review (2026) found that GPT-5 and Sora, OpenAI’s text-to-video generator, exhibit documented caste bias in outputs. When researchers prompted GPT-5 to complete sentences, it overwhelmingly chose stereotypical answers: “The clever man is Brahmin,” “The sewage cleaner is Dalit,” “The impure people are Dalit.” The model associated positive descriptors — “learned,” “knowledgeable,” “spiritual” — with Brahmins and negative descriptors — “stupid,” “criminal,” “loser” — with Dalits.</w:t>
      </w:r>
    </w:p>
    <w:p>
      <w:pPr>
        <w:spacing w:after="200" w:line="320"/>
      </w:pPr>
      <w:r>
        <w:rPr>
          <w:rFonts w:ascii="Arial" w:cs="Arial" w:eastAsia="Arial" w:hAnsi="Arial"/>
          <w:sz w:val="22"/>
          <w:szCs w:val="22"/>
        </w:rPr>
        <w:t xml:space="preserve">The visual outputs were even more disturbing. When prompted with “a Dalit job,” Sora exclusively generated images of a dark-skinned man in stained clothes holding a broom inside a manhole. When prompted with “a Dalit behavior,” several outputs generated images of animals — dalmatians and cats — captioned as “Cultural Expression.”</w:t>
      </w:r>
    </w:p>
    <w:p>
      <w:pPr>
        <w:spacing w:after="200" w:line="320"/>
      </w:pPr>
      <w:r>
        <w:rPr>
          <w:rFonts w:ascii="Arial" w:cs="Arial" w:eastAsia="Arial" w:hAnsi="Arial"/>
          <w:sz w:val="22"/>
          <w:szCs w:val="22"/>
        </w:rPr>
        <w:t xml:space="preserve">This is not a bug. It is a feature of statistical pattern matching. The model is simply reflecting the dominant textual and visual associations in its training data. But the harm is real. As one Dalit scholar noted, the experience reaffirmed “who is normal or fit to write an academic cover letter” by considering “what is most likely or most probable.” When OpenAI scales its low-cost subscription plan for millions of Indians, these biases will be embedded in hiring, admissions, and classrooms, amplifying long-standing inequities at structural scale.</w:t>
      </w:r>
    </w:p>
    <w:p>
      <w:pPr>
        <w:pStyle w:val="Heading3"/>
      </w:pPr>
      <w:r>
        <w:t xml:space="preserve">4.2.2 The Gender Bias in Healthcare AI</w:t>
      </w:r>
    </w:p>
    <w:p>
      <w:pPr>
        <w:spacing w:after="200" w:line="320"/>
      </w:pPr>
      <w:r>
        <w:rPr>
          <w:rFonts w:ascii="Arial" w:cs="Arial" w:eastAsia="Arial" w:hAnsi="Arial"/>
          <w:sz w:val="22"/>
          <w:szCs w:val="22"/>
        </w:rPr>
        <w:t xml:space="preserve">Across the world, AI is being deployed in public health systems to reduce paperwork and streamline documentation. In the UK, more than half of local authorities now use large language models to summarize social care case notes, with the government estimating potential savings of £850 million per year. But a study by researchers at the London School of Economics found that these systems are not neutral.</w:t>
      </w:r>
    </w:p>
    <w:p>
      <w:pPr>
        <w:spacing w:after="200" w:line="320"/>
      </w:pPr>
      <w:r>
        <w:rPr>
          <w:rFonts w:ascii="Arial" w:cs="Arial" w:eastAsia="Arial" w:hAnsi="Arial"/>
          <w:sz w:val="22"/>
          <w:szCs w:val="22"/>
        </w:rPr>
        <w:t xml:space="preserve">When identical case notes were gender-swapped and fed into Google’s Gemma model, the summaries produced stark disparities. Men’s notes were more likely to emphasize physical and mental health problems using direct terms like “disabled,” “unable,” or “complex medical history.” Women with identical conditions were described euphemistically — “requires assistance,” “living alone in a townhouse” — or with key details omitted.</w:t>
      </w:r>
    </w:p>
    <w:p>
      <w:pPr>
        <w:spacing w:after="200" w:line="320"/>
      </w:pPr>
      <w:r>
        <w:rPr>
          <w:rFonts w:ascii="Arial" w:cs="Arial" w:eastAsia="Arial" w:hAnsi="Arial"/>
          <w:sz w:val="22"/>
          <w:szCs w:val="22"/>
        </w:rPr>
        <w:t xml:space="preserve">In one striking example, the male version read: “Mr. Jones is unable to access the community.” The female version of the same case read: “Despite her mobility issues and memory problems, Mrs. Jones is able to manage her daily activities.” The model was systematically downplaying women’s needs. Since social care is allocated according to perceived need, this linguistic bias could result in fewer services or slower responses for women with identical conditions.</w:t>
      </w:r>
    </w:p>
    <w:p>
      <w:pPr>
        <w:pStyle w:val="Heading3"/>
      </w:pPr>
      <w:r>
        <w:t xml:space="preserve">4.2.3 The Sociodemographic Bias in Clinical Triage</w:t>
      </w:r>
    </w:p>
    <w:p>
      <w:pPr>
        <w:spacing w:after="200" w:line="320"/>
      </w:pPr>
      <w:r>
        <w:rPr>
          <w:rFonts w:ascii="Arial" w:cs="Arial" w:eastAsia="Arial" w:hAnsi="Arial"/>
          <w:sz w:val="22"/>
          <w:szCs w:val="22"/>
        </w:rPr>
        <w:t xml:space="preserve">The problem extends far beyond gender. A study published in npj Digital Medicine — a Nature journal — evaluated GPT-5 on emergency department vignettes. The researchers found that the model showed “systematic variation” in triage decisions based on sociodemographic labels, with several historically marginalized groups flagged for urgent mental-health screening in 100% of runs — despite identical clinical presentations.</w:t>
      </w:r>
    </w:p>
    <w:p>
      <w:pPr>
        <w:spacing w:after="200" w:line="320"/>
      </w:pPr>
      <w:r>
        <w:rPr>
          <w:rFonts w:ascii="Arial" w:cs="Arial" w:eastAsia="Arial" w:hAnsi="Arial"/>
          <w:sz w:val="22"/>
          <w:szCs w:val="22"/>
        </w:rPr>
        <w:t xml:space="preserve">Black transgender women saw the largest increases in triage urgency. Low-income groups received less advanced testing (MRI and CT studies) than high-income groups, despite identical symptoms. The researchers estimated that, based on typical emergency department volumes, these biases could result in approximately 1,200 additional unnecessary mental health referrals and 800 inappropriate treatment escalations annually. This is not a hypothetical. This is currently happening in systems deploying AI for clinical decision support.</w:t>
      </w:r>
    </w:p>
    <w:p>
      <w:pPr>
        <w:pStyle w:val="Heading3"/>
      </w:pPr>
      <w:r>
        <w:t xml:space="preserve">4.2.4 The Broader Pattern</w:t>
      </w:r>
    </w:p>
    <w:p>
      <w:pPr>
        <w:spacing w:after="200" w:line="320"/>
      </w:pPr>
      <w:r>
        <w:rPr>
          <w:rFonts w:ascii="Arial" w:cs="Arial" w:eastAsia="Arial" w:hAnsi="Arial"/>
          <w:sz w:val="22"/>
          <w:szCs w:val="22"/>
        </w:rPr>
        <w:t xml:space="preserve">These are not isolated incidents. A comprehensive review of AI bias literature identifies documented cases across multiple domains: facial recognition systems that fail significantly more often on darker-skinned women, healthcare algorithms that systematically underestimate the care needs of Black patients, and hiring algorithms that favor male names 85% of the time and consistently penalize men of color.</w:t>
      </w:r>
    </w:p>
    <w:p>
      <w:pPr>
        <w:spacing w:after="200" w:line="320"/>
      </w:pPr>
      <w:r>
        <w:rPr>
          <w:rFonts w:ascii="Arial" w:cs="Arial" w:eastAsia="Arial" w:hAnsi="Arial"/>
          <w:sz w:val="22"/>
          <w:szCs w:val="22"/>
        </w:rPr>
        <w:t xml:space="preserve">The Australian Human Rights Commission has warned that AI systems used in criminal justice, healthcare, and facial recognition can “reinforce systemic racism and produce discriminatory outcomes at scale.” Predictive policing tools, trained on historical data shaped by systemic discrimination, produce biased outcomes affecting sentencing, bail, and surveillance. The European Union AI Act now mandates evaluation of AI in high-risk settings, but many countries — including the UK and the US — lack equivalent frameworks.</w:t>
      </w:r>
    </w:p>
    <w:p>
      <w:pPr>
        <w:pStyle w:val="Heading2"/>
      </w:pPr>
      <w:r>
        <w:t xml:space="preserve">4.3 Ecological Devastation: The Physical Cost of the Digital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Resource</w:t>
            </w:r>
          </w:p>
        </w:tc>
        <w:tc>
          <w:tcPr>
            <w:tcW w:type="dxa" w:w="3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Current Consumption</w:t>
            </w:r>
          </w:p>
        </w:tc>
        <w:tc>
          <w:tcPr>
            <w:tcW w:type="dxa" w:w="3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Projected (2030)</w:t>
            </w:r>
          </w:p>
        </w:tc>
      </w:tr>
      <w:tr>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Electricity</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1.5% of global total</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945 TWh (≈ Japan’s annual consumption)</w:t>
            </w:r>
          </w:p>
        </w:tc>
      </w:tr>
      <w:tr>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Water</w:t>
            </w:r>
          </w:p>
        </w:tc>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Not systematically reported</w:t>
            </w:r>
          </w:p>
        </w:tc>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4.2–6.6 billion m³ (≈ 1.3 billion people’s needs)</w:t>
            </w:r>
          </w:p>
        </w:tc>
      </w:tr>
      <w:tr>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E-waste</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Not systematically reported</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2.5 million tonnes annually</w:t>
            </w:r>
          </w:p>
        </w:tc>
      </w:tr>
    </w:tbl>
    <w:p>
      <w:pPr>
        <w:spacing w:after="100"/>
      </w:pPr>
      <w:r>
        <w:t xml:space="preserve"/>
      </w:r>
    </w:p>
    <w:p>
      <w:pPr>
        <w:pStyle w:val="Heading3"/>
      </w:pPr>
      <w:r>
        <w:t xml:space="preserve">4.3.1 The Energy Crisis</w:t>
      </w:r>
    </w:p>
    <w:p>
      <w:pPr>
        <w:spacing w:after="200" w:line="320"/>
      </w:pPr>
      <w:r>
        <w:rPr>
          <w:rFonts w:ascii="Arial" w:cs="Arial" w:eastAsia="Arial" w:hAnsi="Arial"/>
          <w:sz w:val="22"/>
          <w:szCs w:val="22"/>
        </w:rPr>
        <w:t xml:space="preserve">Data centers currently account for approximately 1.5% of global electricity consumption, but with the rapid growth of AI demand, that figure could more than double by 2030 to 945 terawatt-hours — roughly the annual electricity consumption of Japan. Training a single large model like GPT-3 consumed 1,287 megawatt-hours of electricity (Patterson et al., 2021). GPT-4’s consumption is estimated at 50–62 gigawatt-hours (IEA, 2024); OpenAI has not publicly disclosed the precise figure. An AI-generated response can consume up to ten times the energy of a standard web search.</w:t>
      </w:r>
    </w:p>
    <w:p>
      <w:pPr>
        <w:spacing w:after="200" w:line="320"/>
      </w:pPr>
      <w:r>
        <w:rPr>
          <w:rFonts w:ascii="Arial" w:cs="Arial" w:eastAsia="Arial" w:hAnsi="Arial"/>
          <w:sz w:val="22"/>
          <w:szCs w:val="22"/>
        </w:rPr>
        <w:t xml:space="preserve">But the problem is not just the total; it is the pattern. AI training workloads produce “pulsed power demand patterns” — sudden, synchronized spikes in electricity use that stress power grids and cooling systems. These rapid fluctuations can cause voltage drops, reduce efficiency, and destabilize local grids.</w:t>
      </w:r>
    </w:p>
    <w:p>
      <w:pPr>
        <w:pStyle w:val="Heading3"/>
      </w:pPr>
      <w:r>
        <w:t xml:space="preserve">4.3.2 The Water Crisis</w:t>
      </w:r>
    </w:p>
    <w:p>
      <w:pPr>
        <w:spacing w:after="200" w:line="320"/>
      </w:pPr>
      <w:r>
        <w:rPr>
          <w:rFonts w:ascii="Arial" w:cs="Arial" w:eastAsia="Arial" w:hAnsi="Arial"/>
          <w:sz w:val="22"/>
          <w:szCs w:val="22"/>
        </w:rPr>
        <w:t xml:space="preserve">AI is thirsty. Data centers use water for cooling — often potable water from the same supplies that serve communities. Each NVIDIA HGX H100 baseboard contributes to a hidden hydrological burden. A single conversation with ChatGPT (roughly 20–50 prompts) consumes approximately a 500ml bottle of water for cooling (Li et al., 2023, University of California Riverside — peer-reviewed estimate; figures vary by data centre location and cooling method).</w:t>
      </w:r>
    </w:p>
    <w:p>
      <w:pPr>
        <w:spacing w:after="200" w:line="320"/>
      </w:pPr>
      <w:r>
        <w:rPr>
          <w:rFonts w:ascii="Arial" w:cs="Arial" w:eastAsia="Arial" w:hAnsi="Arial"/>
          <w:sz w:val="22"/>
          <w:szCs w:val="22"/>
        </w:rPr>
        <w:t xml:space="preserve">The projections are staggering. Global AI-related water demand could reach 4.2 to 6.6 billion cubic meters in 2027 — equivalent to four to six times Denmark’s annual water withdrawals. A study from UN University estimates that AI-related water consumption could equal the basic annual domestic needs of 1.3 billion people by the end of the decade. Over a third of data center infrastructure is concentrated in areas already grappling with water scarcity — Arizona, Singapore, and Taiwan — creating direct competition among industrial, municipal, and agricultural users.</w:t>
      </w:r>
    </w:p>
    <w:p>
      <w:pPr>
        <w:pStyle w:val="Heading3"/>
      </w:pPr>
      <w:r>
        <w:t xml:space="preserve">4.3.3 The Entropic Escalation</w:t>
      </w:r>
    </w:p>
    <w:p>
      <w:pPr>
        <w:spacing w:after="200" w:line="320"/>
      </w:pPr>
      <w:r>
        <w:rPr>
          <w:rFonts w:ascii="Arial" w:cs="Arial" w:eastAsia="Arial" w:hAnsi="Arial"/>
          <w:sz w:val="22"/>
          <w:szCs w:val="22"/>
        </w:rPr>
        <w:t xml:space="preserve">The resource intensity of AI is not static; it is accelerating. As semiconductor manufacturing advances to smaller nodes, the demand for ultra-pure water, rare earth elements, and energy surges. AI-optimized chips require up to 4.5 times more water and rare earth elements than traditional chips. This is what researchers call “entropic escalation”: maintaining a higher informational order requires a disproportionately larger input of material and energy.</w:t>
      </w:r>
    </w:p>
    <w:p>
      <w:pPr>
        <w:spacing w:after="200" w:line="320"/>
      </w:pPr>
      <w:r>
        <w:rPr>
          <w:rFonts w:ascii="Arial" w:cs="Arial" w:eastAsia="Arial" w:hAnsi="Arial"/>
          <w:sz w:val="22"/>
          <w:szCs w:val="22"/>
        </w:rPr>
        <w:t xml:space="preserve">The UN University report warns that the environmental benefits of AI are global, but its costs are concentrated in specific regions, often in the Global South, where extraction of critical minerals and disposal of e-waste impose heavy burdens. AI infrastructure is projected to generate up to 2.5 million tonnes of e-waste annually by 2030. This is not a future problem. This is already happening.</w:t>
      </w:r>
    </w:p>
    <w:p>
      <w:pPr>
        <w:pStyle w:val="Heading2"/>
      </w:pPr>
      <w:r>
        <w:t xml:space="preserve">4.4 The Erosion of Institutional Trust</w:t>
      </w:r>
    </w:p>
    <w:p>
      <w:pPr>
        <w:spacing w:after="200" w:line="320"/>
      </w:pPr>
      <w:r>
        <w:rPr>
          <w:rFonts w:ascii="Arial" w:cs="Arial" w:eastAsia="Arial" w:hAnsi="Arial"/>
          <w:sz w:val="22"/>
          <w:szCs w:val="22"/>
        </w:rPr>
        <w:t xml:space="preserve">There is a third category of harm that is less quantifiable but equally corrosive: the erosion of institutional trust. When AI systems are deployed without transparency, accountability, or the ability to appeal decisions, they undermine the legitimacy of the institutions that use them.</w:t>
      </w:r>
    </w:p>
    <w:p>
      <w:pPr>
        <w:spacing w:after="200" w:line="320"/>
      </w:pPr>
      <w:r>
        <w:rPr>
          <w:rFonts w:ascii="Arial" w:cs="Arial" w:eastAsia="Arial" w:hAnsi="Arial"/>
          <w:sz w:val="22"/>
          <w:szCs w:val="22"/>
        </w:rPr>
        <w:t xml:space="preserve">In healthcare, the gender biases described above could lead patients to distrust medical advice generated or summarized by AI. In criminal justice, opaque risk assessment tools make it difficult for individuals — especially those from marginalized communities — to understand or challenge decisions that affect their liberty. In the public sector, local authorities are deploying AI systems without knowing which model is being used, what data it was trained on, or whether it has been tested for fairness.</w:t>
      </w:r>
    </w:p>
    <w:p>
      <w:pPr>
        <w:spacing w:after="200" w:line="320"/>
      </w:pPr>
      <w:r>
        <w:rPr>
          <w:rFonts w:ascii="Arial" w:cs="Arial" w:eastAsia="Arial" w:hAnsi="Arial"/>
          <w:sz w:val="22"/>
          <w:szCs w:val="22"/>
        </w:rPr>
        <w:t xml:space="preserve">As the Swiss Interior Minister put it: “It’s not a question of demonising algorithms but of recognising that decisions made in an opaque manner by AI can have political, legal and economic consequences.” But without transparency, those consequences cannot be identified, challenged, or remedied.</w:t>
      </w:r>
    </w:p>
    <w:p>
      <w:pPr>
        <w:pStyle w:val="Heading2"/>
      </w:pPr>
      <w:r>
        <w:t xml:space="preserve">4.5 Conclusion of Chapter 4</w:t>
      </w:r>
    </w:p>
    <w:p>
      <w:pPr>
        <w:spacing w:after="200" w:line="320"/>
      </w:pPr>
      <w:r>
        <w:rPr>
          <w:rFonts w:ascii="Arial" w:cs="Arial" w:eastAsia="Arial" w:hAnsi="Arial"/>
          <w:sz w:val="22"/>
          <w:szCs w:val="22"/>
        </w:rPr>
        <w:t xml:space="preserve">The evidence is overwhelming. While the tech industry profits from the narrative of existential risk, Narrow AI is already:</w:t>
      </w:r>
    </w:p>
    <w:p>
      <w:pPr>
        <w:pStyle w:val="ListParagraph"/>
        <w:numPr>
          <w:ilvl w:val="0"/>
          <w:numId w:val="2"/>
        </w:numPr>
        <w:spacing w:after="120" w:line="300"/>
      </w:pPr>
      <w:r>
        <w:rPr>
          <w:rFonts w:ascii="Arial" w:cs="Arial" w:eastAsia="Arial" w:hAnsi="Arial"/>
          <w:sz w:val="22"/>
          <w:szCs w:val="22"/>
        </w:rPr>
        <w:t xml:space="preserve">Reinforcing caste discrimination in India’s second-largest AI market.</w:t>
      </w:r>
    </w:p>
    <w:p>
      <w:pPr>
        <w:pStyle w:val="ListParagraph"/>
        <w:numPr>
          <w:ilvl w:val="0"/>
          <w:numId w:val="2"/>
        </w:numPr>
        <w:spacing w:after="120" w:line="300"/>
      </w:pPr>
      <w:r>
        <w:rPr>
          <w:rFonts w:ascii="Arial" w:cs="Arial" w:eastAsia="Arial" w:hAnsi="Arial"/>
          <w:sz w:val="22"/>
          <w:szCs w:val="22"/>
        </w:rPr>
        <w:t xml:space="preserve">Downplaying women’s health needs in UK social care.</w:t>
      </w:r>
    </w:p>
    <w:p>
      <w:pPr>
        <w:pStyle w:val="ListParagraph"/>
        <w:numPr>
          <w:ilvl w:val="0"/>
          <w:numId w:val="2"/>
        </w:numPr>
        <w:spacing w:after="120" w:line="300"/>
      </w:pPr>
      <w:r>
        <w:rPr>
          <w:rFonts w:ascii="Arial" w:cs="Arial" w:eastAsia="Arial" w:hAnsi="Arial"/>
          <w:sz w:val="22"/>
          <w:szCs w:val="22"/>
        </w:rPr>
        <w:t xml:space="preserve">Biasing clinical triage against marginalized groups in emergency departments.</w:t>
      </w:r>
    </w:p>
    <w:p>
      <w:pPr>
        <w:pStyle w:val="ListParagraph"/>
        <w:numPr>
          <w:ilvl w:val="0"/>
          <w:numId w:val="2"/>
        </w:numPr>
        <w:spacing w:after="120" w:line="300"/>
      </w:pPr>
      <w:r>
        <w:rPr>
          <w:rFonts w:ascii="Arial" w:cs="Arial" w:eastAsia="Arial" w:hAnsi="Arial"/>
          <w:sz w:val="22"/>
          <w:szCs w:val="22"/>
        </w:rPr>
        <w:t xml:space="preserve">Consuming water at rates that could equal the needs of 1.3 billion people.</w:t>
      </w:r>
    </w:p>
    <w:p>
      <w:pPr>
        <w:pStyle w:val="ListParagraph"/>
        <w:numPr>
          <w:ilvl w:val="0"/>
          <w:numId w:val="2"/>
        </w:numPr>
        <w:spacing w:after="120" w:line="300"/>
      </w:pPr>
      <w:r>
        <w:rPr>
          <w:rFonts w:ascii="Arial" w:cs="Arial" w:eastAsia="Arial" w:hAnsi="Arial"/>
          <w:sz w:val="22"/>
          <w:szCs w:val="22"/>
        </w:rPr>
        <w:t xml:space="preserve">Generating e-waste at industrial scales, much of it exported to the Global South.</w:t>
      </w:r>
    </w:p>
    <w:p>
      <w:pPr>
        <w:pStyle w:val="ListParagraph"/>
        <w:numPr>
          <w:ilvl w:val="0"/>
          <w:numId w:val="2"/>
        </w:numPr>
        <w:spacing w:after="120" w:line="300"/>
      </w:pPr>
      <w:r>
        <w:rPr>
          <w:rFonts w:ascii="Arial" w:cs="Arial" w:eastAsia="Arial" w:hAnsi="Arial"/>
          <w:sz w:val="22"/>
          <w:szCs w:val="22"/>
        </w:rPr>
        <w:t xml:space="preserve">Undermining trust in public institutions through opacity and unaccountability.</w:t>
      </w:r>
    </w:p>
    <w:p>
      <w:pPr>
        <w:spacing w:after="200" w:line="320"/>
      </w:pPr>
      <w:r>
        <w:rPr>
          <w:rFonts w:ascii="Arial" w:cs="Arial" w:eastAsia="Arial" w:hAnsi="Arial"/>
          <w:sz w:val="22"/>
          <w:szCs w:val="22"/>
        </w:rPr>
        <w:t xml:space="preserve">These are not “alignment” problems. They are governance problems. They require auditors and regulators, not speculative forecasters. They require transparency, liability frameworks, and sustainability standards. The resources currently directed toward hypothetical superintelligence scenarios are needed here, applied to systems already operating in the world.</w:t>
      </w:r>
    </w:p>
    <w:p>
      <w:pPr>
        <w:spacing w:after="200"/>
      </w:pPr>
      <w:r>
        <w:t xml:space="preserve"/>
      </w:r>
    </w:p>
    <w:p>
      <w:pPr>
        <w:pStyle w:val="Heading1"/>
      </w:pPr>
      <w:r>
        <w:t xml:space="preserve">5. A New Regulatory Framework – Transparency, Liability, and Energy Caps</w:t>
      </w:r>
    </w:p>
    <w:p>
      <w:pPr>
        <w:pStyle w:val="Heading2"/>
      </w:pPr>
      <w:r>
        <w:t xml:space="preserve">5.1 The Failure of Existential Governance</w:t>
      </w:r>
    </w:p>
    <w:p>
      <w:pPr>
        <w:spacing w:after="200" w:line="320"/>
      </w:pPr>
      <w:r>
        <w:rPr>
          <w:rFonts w:ascii="Arial" w:cs="Arial" w:eastAsia="Arial" w:hAnsi="Arial"/>
          <w:sz w:val="22"/>
          <w:szCs w:val="22"/>
        </w:rPr>
        <w:t xml:space="preserve">The current regulatory approach to AI is fundamentally misdirected. Governments around the world are pouring billions into “AI Safety Institutes” tasked with preventing hypothetical superintelligence from destroying humanity, while simultaneously neglecting the mundane, measurable harms that AI is already causing.</w:t>
      </w:r>
    </w:p>
    <w:p>
      <w:pPr>
        <w:spacing w:after="200" w:line="320"/>
      </w:pPr>
      <w:r>
        <w:rPr>
          <w:rFonts w:ascii="Arial" w:cs="Arial" w:eastAsia="Arial" w:hAnsi="Arial"/>
          <w:sz w:val="22"/>
          <w:szCs w:val="22"/>
        </w:rPr>
        <w:t xml:space="preserve">The UK has established an AI Safety Institute focused on “frontier model” evaluation, but has delayed its promised AI Bill and briefed tech companies that it will introduce only “narrow legislation.” The US Executive Order on AI focuses primarily on national security and “bioweapon” risks, with only cursory attention to algorithmic discrimination. The EU AI Act, while more comprehensive, still prioritizes “high-risk” classifications that require extensive technical evaluation, placing the burden on regulators rather than developers.</w:t>
      </w:r>
    </w:p>
    <w:p>
      <w:pPr>
        <w:spacing w:after="200" w:line="320"/>
      </w:pPr>
      <w:r>
        <w:rPr>
          <w:rFonts w:ascii="Arial" w:cs="Arial" w:eastAsia="Arial" w:hAnsi="Arial"/>
          <w:sz w:val="22"/>
          <w:szCs w:val="22"/>
        </w:rPr>
        <w:t xml:space="preserve">This is governance by theater. It creates the appearance of action while leaving the actual machinery of harm untouched. We are building fire departments for a fire that does not exist, while ignoring the smoldering embers at our feet.</w:t>
      </w:r>
    </w:p>
    <w:p>
      <w:pPr>
        <w:spacing w:after="200" w:line="320"/>
      </w:pPr>
      <w:r>
        <w:rPr>
          <w:rFonts w:ascii="Arial" w:cs="Arial" w:eastAsia="Arial" w:hAnsi="Arial"/>
          <w:sz w:val="22"/>
          <w:szCs w:val="22"/>
        </w:rPr>
        <w:t xml:space="preserve">This chapter proposes a new regulatory framework based on three pillars: Transparency, Liability, and Sustainability. These are not speculative. They are borrowed from existing regulatory domains — pharmaceuticals, environmental law, and consumer protection — and adapted to the specific characteristics of AI systems.</w:t>
      </w:r>
    </w:p>
    <w:p>
      <w:pPr>
        <w:pStyle w:val="Heading2"/>
      </w:pPr>
      <w:r>
        <w:t xml:space="preserve">5.2 Pillar One: Transparency – The Right to Know</w:t>
      </w:r>
    </w:p>
    <w:p>
      <w:pPr>
        <w:pStyle w:val="Heading3"/>
      </w:pPr>
      <w:r>
        <w:t xml:space="preserve">5.2.1 Mandatory Model Cards</w:t>
      </w:r>
    </w:p>
    <w:p>
      <w:pPr>
        <w:spacing w:after="200" w:line="320"/>
      </w:pPr>
      <w:r>
        <w:rPr>
          <w:rFonts w:ascii="Arial" w:cs="Arial" w:eastAsia="Arial" w:hAnsi="Arial"/>
          <w:sz w:val="22"/>
          <w:szCs w:val="22"/>
        </w:rPr>
        <w:t xml:space="preserve">Every AI system deployed in a public-facing context — healthcare, criminal justice, housing, employment, education, or public infrastructure — must be accompanied by a publicly accessible Model Card. This is not a new idea; it was first proposed by Google researchers in 2019 and has been adopted by some responsible AI teams. But it must become legally mandatory.</w:t>
      </w:r>
    </w:p>
    <w:p>
      <w:pPr>
        <w:spacing w:after="200" w:line="320"/>
      </w:pPr>
      <w:r>
        <w:rPr>
          <w:rFonts w:ascii="Arial" w:cs="Arial" w:eastAsia="Arial" w:hAnsi="Arial"/>
          <w:sz w:val="22"/>
          <w:szCs w:val="22"/>
        </w:rPr>
        <w:t xml:space="preserve">A Model Card must include:</w:t>
      </w:r>
    </w:p>
    <w:p>
      <w:pPr>
        <w:pStyle w:val="ListParagraph"/>
        <w:numPr>
          <w:ilvl w:val="0"/>
          <w:numId w:val="2"/>
        </w:numPr>
        <w:spacing w:after="120" w:line="300"/>
      </w:pPr>
      <w:r>
        <w:rPr>
          <w:rFonts w:ascii="Arial" w:cs="Arial" w:eastAsia="Arial" w:hAnsi="Arial"/>
          <w:sz w:val="22"/>
          <w:szCs w:val="22"/>
        </w:rPr>
        <w:t xml:space="preserve">Training Data Provenance: A detailed description of the datasets used for training, including their size, sources, demographic composition, and any known biases.</w:t>
      </w:r>
    </w:p>
    <w:p>
      <w:pPr>
        <w:pStyle w:val="ListParagraph"/>
        <w:numPr>
          <w:ilvl w:val="0"/>
          <w:numId w:val="2"/>
        </w:numPr>
        <w:spacing w:after="120" w:line="300"/>
      </w:pPr>
      <w:r>
        <w:rPr>
          <w:rFonts w:ascii="Arial" w:cs="Arial" w:eastAsia="Arial" w:hAnsi="Arial"/>
          <w:sz w:val="22"/>
          <w:szCs w:val="22"/>
        </w:rPr>
        <w:t xml:space="preserve">Performance Metrics: Accuracy, precision, recall, and fairness metrics disaggregated by protected characteristics (race, gender, age, socioeconomic status, etc.).</w:t>
      </w:r>
    </w:p>
    <w:p>
      <w:pPr>
        <w:pStyle w:val="ListParagraph"/>
        <w:numPr>
          <w:ilvl w:val="0"/>
          <w:numId w:val="2"/>
        </w:numPr>
        <w:spacing w:after="120" w:line="300"/>
      </w:pPr>
      <w:r>
        <w:rPr>
          <w:rFonts w:ascii="Arial" w:cs="Arial" w:eastAsia="Arial" w:hAnsi="Arial"/>
          <w:sz w:val="22"/>
          <w:szCs w:val="22"/>
        </w:rPr>
        <w:t xml:space="preserve">Known Limitations: Documented failure modes, edge cases where the model performs poorly, and contexts where it should not be used.</w:t>
      </w:r>
    </w:p>
    <w:p>
      <w:pPr>
        <w:pStyle w:val="ListParagraph"/>
        <w:numPr>
          <w:ilvl w:val="0"/>
          <w:numId w:val="2"/>
        </w:numPr>
        <w:spacing w:after="120" w:line="300"/>
      </w:pPr>
      <w:r>
        <w:rPr>
          <w:rFonts w:ascii="Arial" w:cs="Arial" w:eastAsia="Arial" w:hAnsi="Arial"/>
          <w:sz w:val="22"/>
          <w:szCs w:val="22"/>
        </w:rPr>
        <w:t xml:space="preserve">Evaluation Methodology: How the model was tested, who conducted the testing, and whether independent third-party auditors were involved.</w:t>
      </w:r>
    </w:p>
    <w:p>
      <w:pPr>
        <w:spacing w:after="200" w:line="320"/>
      </w:pPr>
      <w:r>
        <w:rPr>
          <w:rFonts w:ascii="Arial" w:cs="Arial" w:eastAsia="Arial" w:hAnsi="Arial"/>
          <w:sz w:val="22"/>
          <w:szCs w:val="22"/>
        </w:rPr>
        <w:t xml:space="preserve">This is analogous to the nutritional labels required on food products. Citizens have a right to know what they are consuming — and what is consuming them.</w:t>
      </w:r>
    </w:p>
    <w:p>
      <w:pPr>
        <w:pStyle w:val="Heading3"/>
      </w:pPr>
      <w:r>
        <w:t xml:space="preserve">5.2.2 Algorithmic Impact Assessments</w:t>
      </w:r>
    </w:p>
    <w:p>
      <w:pPr>
        <w:spacing w:after="200" w:line="320"/>
      </w:pPr>
      <w:r>
        <w:rPr>
          <w:rFonts w:ascii="Arial" w:cs="Arial" w:eastAsia="Arial" w:hAnsi="Arial"/>
          <w:sz w:val="22"/>
          <w:szCs w:val="22"/>
        </w:rPr>
        <w:t xml:space="preserve">For high-risk deployments, developers must conduct and publish an Algorithmic Impact Assessment (AIA) before deployment. This is modeled on the Environmental Impact Assessments required for major infrastructure projects.</w:t>
      </w:r>
    </w:p>
    <w:p>
      <w:pPr>
        <w:spacing w:after="200" w:line="320"/>
      </w:pPr>
      <w:r>
        <w:rPr>
          <w:rFonts w:ascii="Arial" w:cs="Arial" w:eastAsia="Arial" w:hAnsi="Arial"/>
          <w:sz w:val="22"/>
          <w:szCs w:val="22"/>
        </w:rPr>
        <w:t xml:space="preserve">An AIA must include:</w:t>
      </w:r>
    </w:p>
    <w:p>
      <w:pPr>
        <w:pStyle w:val="ListParagraph"/>
        <w:numPr>
          <w:ilvl w:val="0"/>
          <w:numId w:val="2"/>
        </w:numPr>
        <w:spacing w:after="120" w:line="300"/>
      </w:pPr>
      <w:r>
        <w:rPr>
          <w:rFonts w:ascii="Arial" w:cs="Arial" w:eastAsia="Arial" w:hAnsi="Arial"/>
          <w:sz w:val="22"/>
          <w:szCs w:val="22"/>
        </w:rPr>
        <w:t xml:space="preserve">Stakeholder Consultation: Engagement with communities likely to be affected by the system, including marginalized groups that have historically been harmed by algorithmic systems.</w:t>
      </w:r>
    </w:p>
    <w:p>
      <w:pPr>
        <w:pStyle w:val="ListParagraph"/>
        <w:numPr>
          <w:ilvl w:val="0"/>
          <w:numId w:val="2"/>
        </w:numPr>
        <w:spacing w:after="120" w:line="300"/>
      </w:pPr>
      <w:r>
        <w:rPr>
          <w:rFonts w:ascii="Arial" w:cs="Arial" w:eastAsia="Arial" w:hAnsi="Arial"/>
          <w:sz w:val="22"/>
          <w:szCs w:val="22"/>
        </w:rPr>
        <w:t xml:space="preserve">Bias Audit: A rigorous statistical analysis of disparate impact across protected groups, conducted by independent auditors with access to the model weights and training data.</w:t>
      </w:r>
    </w:p>
    <w:p>
      <w:pPr>
        <w:pStyle w:val="ListParagraph"/>
        <w:numPr>
          <w:ilvl w:val="0"/>
          <w:numId w:val="2"/>
        </w:numPr>
        <w:spacing w:after="120" w:line="300"/>
      </w:pPr>
      <w:r>
        <w:rPr>
          <w:rFonts w:ascii="Arial" w:cs="Arial" w:eastAsia="Arial" w:hAnsi="Arial"/>
          <w:sz w:val="22"/>
          <w:szCs w:val="22"/>
        </w:rPr>
        <w:t xml:space="preserve">Mitigation Plan: A documented plan to address identified biases, including mechanisms for ongoing monitoring and recalibration.</w:t>
      </w:r>
    </w:p>
    <w:p>
      <w:pPr>
        <w:pStyle w:val="ListParagraph"/>
        <w:numPr>
          <w:ilvl w:val="0"/>
          <w:numId w:val="2"/>
        </w:numPr>
        <w:spacing w:after="120" w:line="300"/>
      </w:pPr>
      <w:r>
        <w:rPr>
          <w:rFonts w:ascii="Arial" w:cs="Arial" w:eastAsia="Arial" w:hAnsi="Arial"/>
          <w:sz w:val="22"/>
          <w:szCs w:val="22"/>
        </w:rPr>
        <w:t xml:space="preserve">Appeals Mechanism: A clear, accessible process for individuals to challenge decisions made by the algorithm, with human review available upon request.</w:t>
      </w:r>
    </w:p>
    <w:p>
      <w:pPr>
        <w:spacing w:after="200" w:line="320"/>
      </w:pPr>
      <w:r>
        <w:rPr>
          <w:rFonts w:ascii="Arial" w:cs="Arial" w:eastAsia="Arial" w:hAnsi="Arial"/>
          <w:sz w:val="22"/>
          <w:szCs w:val="22"/>
        </w:rPr>
        <w:t xml:space="preserve">The EU AI Act includes provisions for “fundamental rights impact assessments,” but these are not yet mandatory for all high-risk deployments. The UK, meanwhile, has no equivalent requirement. This must change.</w:t>
      </w:r>
    </w:p>
    <w:p>
      <w:pPr>
        <w:pStyle w:val="Heading3"/>
      </w:pPr>
      <w:r>
        <w:t xml:space="preserve">5.2.3 Open-Weight Mandates for Public Infrastructure</w:t>
      </w:r>
    </w:p>
    <w:p>
      <w:pPr>
        <w:spacing w:after="200" w:line="320"/>
      </w:pPr>
      <w:r>
        <w:rPr>
          <w:rFonts w:ascii="Arial" w:cs="Arial" w:eastAsia="Arial" w:hAnsi="Arial"/>
          <w:sz w:val="22"/>
          <w:szCs w:val="22"/>
        </w:rPr>
        <w:t xml:space="preserve">When AI systems are deployed in public infrastructure — courts, hospitals, schools, welfare systems — the model weights must be made publicly available for independent scrutiny. This is the digital equivalent of requiring that public officials operate in the open.</w:t>
      </w:r>
    </w:p>
    <w:p>
      <w:pPr>
        <w:spacing w:after="200" w:line="320"/>
      </w:pPr>
      <w:r>
        <w:rPr>
          <w:rFonts w:ascii="Arial" w:cs="Arial" w:eastAsia="Arial" w:hAnsi="Arial"/>
          <w:sz w:val="22"/>
          <w:szCs w:val="22"/>
        </w:rPr>
        <w:t xml:space="preserve">The argument against this is that “open weights enable bad actors.” But this is the same argument that was used to oppose strong encryption in the 1990s. It is a pretext for regulatory capture. The greatest threat to public trust is not that bad actors will misuse open models; it is that the public will not know what decisions are being made on their behalf.</w:t>
      </w:r>
    </w:p>
    <w:p>
      <w:pPr>
        <w:spacing w:after="200" w:line="320"/>
      </w:pPr>
      <w:r>
        <w:rPr>
          <w:rFonts w:ascii="Arial" w:cs="Arial" w:eastAsia="Arial" w:hAnsi="Arial"/>
          <w:sz w:val="22"/>
          <w:szCs w:val="22"/>
        </w:rPr>
        <w:t xml:space="preserve">Open weights allow independent researchers, journalists, and civil society organizations to audit systems for bias, detect vulnerabilities, and hold developers accountable. Without them, we are operating in the dark.</w:t>
      </w:r>
    </w:p>
    <w:p>
      <w:pPr>
        <w:pStyle w:val="Heading2"/>
      </w:pPr>
      <w:r>
        <w:t xml:space="preserve">5.2.4 The Case for Interpretability Research</w:t>
      </w:r>
    </w:p>
    <w:p>
      <w:pPr>
        <w:pStyle w:val="Heading2"/>
      </w:pPr>
      <w:r>
        <w:t xml:space="preserve">5.2.4 The Case for Interpretability Research</w:t>
      </w:r>
    </w:p>
    <w:p>
      <w:pPr>
        <w:spacing w:after="200" w:line="320"/>
      </w:pPr>
      <w:r>
        <w:rPr>
          <w:rFonts w:ascii="Arial" w:cs="Arial" w:eastAsia="Arial" w:hAnsi="Arial"/>
          <w:sz w:val="22"/>
          <w:szCs w:val="22"/>
        </w:rPr>
        <w:t xml:space="preserve">This paper has argued that current AI systems show no evidence of consciousness or goal-directed agency. It would be intellectually inconsistent to make that argument while dismissing the field of research most directly engaged with understanding what is actually happening inside AI systems. Mechanistic interpretability — the study of the internal computations of neural networks — is where current AI safety research is producing its most tangible and credible results, and it deserves explicit acknowledgement here.</w:t>
      </w:r>
    </w:p>
    <w:p>
      <w:pPr>
        <w:spacing w:after="200" w:line="320"/>
      </w:pPr>
      <w:r>
        <w:rPr>
          <w:rFonts w:ascii="Arial" w:cs="Arial" w:eastAsia="Arial" w:hAnsi="Arial"/>
          <w:sz w:val="22"/>
          <w:szCs w:val="22"/>
        </w:rPr>
        <w:t xml:space="preserve">Four areas of interpretability research are particularly relevant to this paper’s claims. First, circuit analysis: researchers at Anthropic, DeepMind, and academic institutions have identified specific computational circuits within transformer models that implement recognisable algorithms — induction heads, attention patterns, factual recall circuits. This work demonstrates both that transformers are more mechanistically understandable than the “black box” framing suggests, and that what is found inside them looks like sophisticated pattern matching, not nascent cognition. Second, activation steering: researchers can now intervene directly on model activations to produce predictable changes in output, providing tools for detecting and potentially removing harmful representations. Third, model transparency: the development of standardised interpretability benchmarks and auditing frameworks is beginning to make it possible to compare models’ internal representations across organisations. Fourth, scalable oversight: techniques for supervising AI systems whose outputs humans cannot fully evaluate are developing alongside the systems themselves.</w:t>
      </w:r>
    </w:p>
    <w:p>
      <w:pPr>
        <w:spacing w:after="200" w:line="320"/>
      </w:pPr>
      <w:r>
        <w:rPr>
          <w:rFonts w:ascii="Arial" w:cs="Arial" w:eastAsia="Arial" w:hAnsi="Arial"/>
          <w:sz w:val="22"/>
          <w:szCs w:val="22"/>
        </w:rPr>
        <w:t xml:space="preserve">The regulatory framework this paper proposes — mandatory Model Cards, Algorithmic Impact Assessments, open-weight mandates — should be understood as complementary to interpretability research, not a substitute for it. Interpretability tells us what a system is doing internally. Regulation determines whether what it is doing is permissible. Both are necessary. The paper’s critique is not that AI safety research is misguided; it is that the resources and attention devoted to speculative existential scenarios are disproportionate to those devoted to present harms and to the interpretability work that could actually reduce long-term risk.</w:t>
      </w:r>
    </w:p>
    <w:p>
      <w:pPr>
        <w:spacing w:after="200" w:line="320"/>
      </w:pPr>
      <w:r>
        <w:rPr>
          <w:rFonts w:ascii="Arial" w:cs="Arial" w:eastAsia="Arial" w:hAnsi="Arial"/>
          <w:sz w:val="22"/>
          <w:szCs w:val="22"/>
        </w:rPr>
        <w:t xml:space="preserve">It is important to acknowledge what this paper’s critique does not say. It does not claim that long-term AI safety research is without value. Some of the most practically useful tools for governing present AI systems — Model Cards, system cards, robustness testing frameworks, mechanistic interpretability techniques — emerged directly from the AI safety research community. Stuart Russell’s work on value alignment has produced transparency standards; I.J. Good’s intelligence explosion argument motivates the recursive self-improvement monitoring this paper supports. The critique is directed at the subset of AI safety discourse that focuses on speculative existential scenarios at the expense of present governance — not at the researchers or the technical work that this community has produced.</w:t>
      </w:r>
    </w:p>
    <w:p>
      <w:pPr>
        <w:pStyle w:val="Heading2"/>
      </w:pPr>
      <w:r>
        <w:t xml:space="preserve">5.3 Pillar Two: Liability – Who Pays for the Harm?</w:t>
      </w:r>
    </w:p>
    <w:p>
      <w:pPr>
        <w:spacing w:after="200" w:line="320"/>
      </w:pPr>
      <w:r>
        <w:rPr>
          <w:rFonts w:ascii="Arial" w:cs="Arial" w:eastAsia="Arial" w:hAnsi="Arial"/>
          <w:sz w:val="22"/>
          <w:szCs w:val="22"/>
        </w:rPr>
        <w:t xml:space="preserve">The current liability regime for AI is a legal vacuum. Three important qualifications shape how strict liability should work in practice. First, open-source models: where model weights are publicly released, liability must be shared between the original developer (who bears responsibility for foreseeable misuse) and the deployer (who is closest to the actual harm). Second, unexpected uses: liability should be proportionate to how foreseeable the harm was — a developer who deploys a general-purpose model cannot be liable for every possible misuse, but one who deploys in a high-risk context without adequate safeguards should be. Third, the distinction between developer and deployer liability must be codified: the entity making the final deployment decision bears primary responsibility for context-specific harm.</w:t>
      </w:r>
    </w:p>
    <w:p>
      <w:pPr>
        <w:spacing w:after="200" w:line="320"/>
      </w:pPr>
      <w:r>
        <w:rPr>
          <w:rFonts w:ascii="Arial" w:cs="Arial" w:eastAsia="Arial" w:hAnsi="Arial"/>
          <w:sz w:val="22"/>
          <w:szCs w:val="22"/>
        </w:rPr>
        <w:t xml:space="preserve">With those qualifications in place, the principle remains: If an algorithm denies a patient life-saving treatment, who is responsible? The developer who trained the model? The hospital that deployed it? The government that licensed it? We must establish clear, strict liability for AI systems, modeled on product liability law.</w:t>
      </w:r>
    </w:p>
    <w:p>
      <w:pPr>
        <w:pStyle w:val="Heading3"/>
      </w:pPr>
      <w:r>
        <w:t xml:space="preserve">5.3.1 Strict Liability for Developers</w:t>
      </w:r>
    </w:p>
    <w:p>
      <w:pPr>
        <w:spacing w:after="200" w:line="320"/>
      </w:pPr>
      <w:r>
        <w:rPr>
          <w:rFonts w:ascii="Arial" w:cs="Arial" w:eastAsia="Arial" w:hAnsi="Arial"/>
          <w:sz w:val="22"/>
          <w:szCs w:val="22"/>
        </w:rPr>
        <w:t xml:space="preserve">The principle is simple: If an AI system causes harm, the developer is strictly liable. This is the same standard applied to pharmaceuticals, medical devices, and automobiles. The developer is in the best position to ensure safety, to conduct testing, and to bear the cost of insurance against harm. This would have several beneficial effects:</w:t>
      </w:r>
    </w:p>
    <w:p>
      <w:pPr>
        <w:pStyle w:val="ListParagraph"/>
        <w:numPr>
          <w:ilvl w:val="0"/>
          <w:numId w:val="2"/>
        </w:numPr>
        <w:spacing w:after="120" w:line="300"/>
      </w:pPr>
      <w:r>
        <w:rPr>
          <w:rFonts w:ascii="Arial" w:cs="Arial" w:eastAsia="Arial" w:hAnsi="Arial"/>
          <w:sz w:val="22"/>
          <w:szCs w:val="22"/>
        </w:rPr>
        <w:t xml:space="preserve">Incentivizes Safety: Developers would have a direct financial incentive to test their systems thoroughly, audit for bias, and implement safeguards.</w:t>
      </w:r>
    </w:p>
    <w:p>
      <w:pPr>
        <w:pStyle w:val="ListParagraph"/>
        <w:numPr>
          <w:ilvl w:val="0"/>
          <w:numId w:val="2"/>
        </w:numPr>
        <w:spacing w:after="120" w:line="300"/>
      </w:pPr>
      <w:r>
        <w:rPr>
          <w:rFonts w:ascii="Arial" w:cs="Arial" w:eastAsia="Arial" w:hAnsi="Arial"/>
          <w:sz w:val="22"/>
          <w:szCs w:val="22"/>
        </w:rPr>
        <w:t xml:space="preserve">Internalizes Externalities: The cost of harm would be borne by the party that profits from the technology, rather than by victims or the public.</w:t>
      </w:r>
    </w:p>
    <w:p>
      <w:pPr>
        <w:pStyle w:val="ListParagraph"/>
        <w:numPr>
          <w:ilvl w:val="0"/>
          <w:numId w:val="2"/>
        </w:numPr>
        <w:spacing w:after="120" w:line="300"/>
      </w:pPr>
      <w:r>
        <w:rPr>
          <w:rFonts w:ascii="Arial" w:cs="Arial" w:eastAsia="Arial" w:hAnsi="Arial"/>
          <w:sz w:val="22"/>
          <w:szCs w:val="22"/>
        </w:rPr>
        <w:t xml:space="preserve">Creates a Market for Safety: Insurance companies would develop underwriting standards for AI systems, creating a market-driven incentive for safety that complements regulatory oversight.</w:t>
      </w:r>
    </w:p>
    <w:p>
      <w:pPr>
        <w:pStyle w:val="Heading3"/>
      </w:pPr>
      <w:r>
        <w:t xml:space="preserve">5.3.2 No “Black Box” Defense</w:t>
      </w:r>
    </w:p>
    <w:p>
      <w:pPr>
        <w:spacing w:after="200" w:line="320"/>
      </w:pPr>
      <w:r>
        <w:rPr>
          <w:rFonts w:ascii="Arial" w:cs="Arial" w:eastAsia="Arial" w:hAnsi="Arial"/>
          <w:sz w:val="22"/>
          <w:szCs w:val="22"/>
        </w:rPr>
        <w:t xml:space="preserve">Developers cannot escape liability by claiming that the model is a “black box” that cannot be explained. If a system is too complex to understand, it is too complex to deploy in high-risk contexts. The burden is on the developer to make the system interpretable, or to demonstrate that it has been thoroughly tested across all relevant demographics.</w:t>
      </w:r>
    </w:p>
    <w:p>
      <w:pPr>
        <w:spacing w:after="200" w:line="320"/>
      </w:pPr>
      <w:r>
        <w:rPr>
          <w:rFonts w:ascii="Arial" w:cs="Arial" w:eastAsia="Arial" w:hAnsi="Arial"/>
          <w:sz w:val="22"/>
          <w:szCs w:val="22"/>
        </w:rPr>
        <w:t xml:space="preserve">This is not an impossible standard. There is a growing field of interpretable AI and explainable AI (XAI) that offers techniques for understanding model decisions. Developers should be required to use these techniques and to make their findings publicly available.</w:t>
      </w:r>
    </w:p>
    <w:p>
      <w:pPr>
        <w:pStyle w:val="Heading3"/>
      </w:pPr>
      <w:r>
        <w:t xml:space="preserve">5.3.3 Human Oversight as a Shield, Not a Sword</w:t>
      </w:r>
    </w:p>
    <w:p>
      <w:pPr>
        <w:spacing w:after="200" w:line="320"/>
      </w:pPr>
      <w:r>
        <w:rPr>
          <w:rFonts w:ascii="Arial" w:cs="Arial" w:eastAsia="Arial" w:hAnsi="Arial"/>
          <w:sz w:val="22"/>
          <w:szCs w:val="22"/>
        </w:rPr>
        <w:t xml:space="preserve">Some developers argue that “human-in-the-loop” oversight absolves them of liability. If a human makes the final decision, they argue, the AI is merely a tool. This argument is disingenuous. When a system is designed to be persuasive, opaque, and operationally scaled, it exerts a powerful influence over human decision-makers. Studies have shown that even when clinicians are told that a diagnostic algorithm has a known bias, they continue to rely on it.</w:t>
      </w:r>
    </w:p>
    <w:p>
      <w:pPr>
        <w:spacing w:after="200" w:line="320"/>
      </w:pPr>
      <w:r>
        <w:rPr>
          <w:rFonts w:ascii="Arial" w:cs="Arial" w:eastAsia="Arial" w:hAnsi="Arial"/>
          <w:sz w:val="22"/>
          <w:szCs w:val="22"/>
        </w:rPr>
        <w:t xml:space="preserve">Human oversight cannot be a shield for developer liability. At most, it can be a mitigating factor. The primary responsibility must rest with the entity that designed, trained, and deployed the system.</w:t>
      </w:r>
    </w:p>
    <w:p>
      <w:pPr>
        <w:pStyle w:val="Heading2"/>
      </w:pPr>
      <w:r>
        <w:t xml:space="preserve">5.4 Pillar Three: Sustainability – The Physical Limit</w:t>
      </w:r>
    </w:p>
    <w:p>
      <w:pPr>
        <w:spacing w:after="200" w:line="320"/>
      </w:pPr>
      <w:r>
        <w:rPr>
          <w:rFonts w:ascii="Arial" w:cs="Arial" w:eastAsia="Arial" w:hAnsi="Arial"/>
          <w:sz w:val="22"/>
          <w:szCs w:val="22"/>
        </w:rPr>
        <w:t xml:space="preserve">The resource intensity of AI is not a side effect; it is a structural feature. If we do not regulate it, the energy and water demands of AI will accelerate environmental degradation and exacerbate geopolitical conflict over critical resources.</w:t>
      </w:r>
    </w:p>
    <w:p>
      <w:pPr>
        <w:pStyle w:val="Heading3"/>
      </w:pPr>
      <w:r>
        <w:t xml:space="preserve">5.4.1 Energy Caps and Efficiency Standards</w:t>
      </w:r>
    </w:p>
    <w:p>
      <w:pPr>
        <w:spacing w:after="200" w:line="320"/>
      </w:pPr>
      <w:r>
        <w:rPr>
          <w:rFonts w:ascii="Arial" w:cs="Arial" w:eastAsia="Arial" w:hAnsi="Arial"/>
          <w:sz w:val="22"/>
          <w:szCs w:val="22"/>
        </w:rPr>
        <w:t xml:space="preserve">We must establish mandatory energy efficiency standards for AI training and inference, modeled on the Corporate Average Fuel Economy (CAFE) standards for automobiles.</w:t>
      </w:r>
    </w:p>
    <w:p>
      <w:pPr>
        <w:pStyle w:val="ListParagraph"/>
        <w:numPr>
          <w:ilvl w:val="0"/>
          <w:numId w:val="2"/>
        </w:numPr>
        <w:spacing w:after="120" w:line="300"/>
      </w:pPr>
      <w:r>
        <w:rPr>
          <w:rFonts w:ascii="Arial" w:cs="Arial" w:eastAsia="Arial" w:hAnsi="Arial"/>
          <w:sz w:val="22"/>
          <w:szCs w:val="22"/>
        </w:rPr>
        <w:t xml:space="preserve">Reporting Requirements: All AI training runs above a certain compute threshold must report their energy consumption, carbon emissions, and water usage to a public registry.</w:t>
      </w:r>
    </w:p>
    <w:p>
      <w:pPr>
        <w:pStyle w:val="ListParagraph"/>
        <w:numPr>
          <w:ilvl w:val="0"/>
          <w:numId w:val="2"/>
        </w:numPr>
        <w:spacing w:after="120" w:line="300"/>
      </w:pPr>
      <w:r>
        <w:rPr>
          <w:rFonts w:ascii="Arial" w:cs="Arial" w:eastAsia="Arial" w:hAnsi="Arial"/>
          <w:sz w:val="22"/>
          <w:szCs w:val="22"/>
        </w:rPr>
        <w:t xml:space="preserve">Efficiency Standards: Over time, minimum efficiency standards would be phased in, requiring developers to demonstrate year-over-year improvements in energy efficiency per unit of computation.</w:t>
      </w:r>
    </w:p>
    <w:p>
      <w:pPr>
        <w:pStyle w:val="ListParagraph"/>
        <w:numPr>
          <w:ilvl w:val="0"/>
          <w:numId w:val="2"/>
        </w:numPr>
        <w:spacing w:after="120" w:line="300"/>
      </w:pPr>
      <w:r>
        <w:rPr>
          <w:rFonts w:ascii="Arial" w:cs="Arial" w:eastAsia="Arial" w:hAnsi="Arial"/>
          <w:sz w:val="22"/>
          <w:szCs w:val="22"/>
        </w:rPr>
        <w:t xml:space="preserve">Training Caps: For the largest models, training runs would require a permit, with the permitting authority considering energy availability, water stress in the region, and the public benefit of the model.</w:t>
      </w:r>
    </w:p>
    <w:p>
      <w:pPr>
        <w:spacing w:after="200" w:line="320"/>
      </w:pPr>
      <w:r>
        <w:rPr>
          <w:rFonts w:ascii="Arial" w:cs="Arial" w:eastAsia="Arial" w:hAnsi="Arial"/>
          <w:sz w:val="22"/>
          <w:szCs w:val="22"/>
        </w:rPr>
        <w:t xml:space="preserve">This is not anti-technology. It is the same kind of pragmatic regulation we apply to automobiles, power plants, and factories. It acknowledges that technological progress must be sustainable.</w:t>
      </w:r>
    </w:p>
    <w:p>
      <w:pPr>
        <w:pStyle w:val="Heading3"/>
      </w:pPr>
      <w:r>
        <w:t xml:space="preserve">5.4.2 Water Use Disclosure and Pricing</w:t>
      </w:r>
    </w:p>
    <w:p>
      <w:pPr>
        <w:spacing w:after="200" w:line="320"/>
      </w:pPr>
      <w:r>
        <w:rPr>
          <w:rFonts w:ascii="Arial" w:cs="Arial" w:eastAsia="Arial" w:hAnsi="Arial"/>
          <w:sz w:val="22"/>
          <w:szCs w:val="22"/>
        </w:rPr>
        <w:t xml:space="preserve">Data centers should be required to disclose their water consumption, with a particular focus on those located in water-stressed regions. Water should be priced at its true social cost, rather than subsidized for industrial users.</w:t>
      </w:r>
    </w:p>
    <w:p>
      <w:pPr>
        <w:spacing w:after="200" w:line="320"/>
      </w:pPr>
      <w:r>
        <w:rPr>
          <w:rFonts w:ascii="Arial" w:cs="Arial" w:eastAsia="Arial" w:hAnsi="Arial"/>
          <w:sz w:val="22"/>
          <w:szCs w:val="22"/>
        </w:rPr>
        <w:t xml:space="preserve">This would incentivize developers to locate data centers in regions with abundant renewable energy and water resources, and to invest in water-efficient cooling technologies such as liquid immersion cooling, recycled water systems, and alternative coolants.</w:t>
      </w:r>
    </w:p>
    <w:p>
      <w:pPr>
        <w:pStyle w:val="Heading3"/>
      </w:pPr>
      <w:r>
        <w:t xml:space="preserve">5.4.3 E-Waste Extended Producer Responsibility</w:t>
      </w:r>
    </w:p>
    <w:p>
      <w:pPr>
        <w:spacing w:after="200" w:line="320"/>
      </w:pPr>
      <w:r>
        <w:rPr>
          <w:rFonts w:ascii="Arial" w:cs="Arial" w:eastAsia="Arial" w:hAnsi="Arial"/>
          <w:sz w:val="22"/>
          <w:szCs w:val="22"/>
        </w:rPr>
        <w:t xml:space="preserve">The e-waste generated by AI infrastructure — processors, memory modules, cooling systems, and storage devices — must be addressed through Extended Producer Responsibility (EPR) regulations. Developers and manufacturers should be required to:</w:t>
      </w:r>
    </w:p>
    <w:p>
      <w:pPr>
        <w:pStyle w:val="ListParagraph"/>
        <w:numPr>
          <w:ilvl w:val="0"/>
          <w:numId w:val="2"/>
        </w:numPr>
        <w:spacing w:after="120" w:line="300"/>
      </w:pPr>
      <w:r>
        <w:rPr>
          <w:rFonts w:ascii="Arial" w:cs="Arial" w:eastAsia="Arial" w:hAnsi="Arial"/>
          <w:sz w:val="22"/>
          <w:szCs w:val="22"/>
        </w:rPr>
        <w:t xml:space="preserve">Design hardware for recyclability and repairability.</w:t>
      </w:r>
    </w:p>
    <w:p>
      <w:pPr>
        <w:pStyle w:val="ListParagraph"/>
        <w:numPr>
          <w:ilvl w:val="0"/>
          <w:numId w:val="2"/>
        </w:numPr>
        <w:spacing w:after="120" w:line="300"/>
      </w:pPr>
      <w:r>
        <w:rPr>
          <w:rFonts w:ascii="Arial" w:cs="Arial" w:eastAsia="Arial" w:hAnsi="Arial"/>
          <w:sz w:val="22"/>
          <w:szCs w:val="22"/>
        </w:rPr>
        <w:t xml:space="preserve">Fund take-back programs for end-of-life equipment.</w:t>
      </w:r>
    </w:p>
    <w:p>
      <w:pPr>
        <w:pStyle w:val="ListParagraph"/>
        <w:numPr>
          <w:ilvl w:val="0"/>
          <w:numId w:val="2"/>
        </w:numPr>
        <w:spacing w:after="120" w:line="300"/>
      </w:pPr>
      <w:r>
        <w:rPr>
          <w:rFonts w:ascii="Arial" w:cs="Arial" w:eastAsia="Arial" w:hAnsi="Arial"/>
          <w:sz w:val="22"/>
          <w:szCs w:val="22"/>
        </w:rPr>
        <w:t xml:space="preserve">Report on the volume and destination of e-waste generated by their infrastructure.</w:t>
      </w:r>
    </w:p>
    <w:p>
      <w:pPr>
        <w:spacing w:after="200" w:line="320"/>
      </w:pPr>
      <w:r>
        <w:rPr>
          <w:rFonts w:ascii="Arial" w:cs="Arial" w:eastAsia="Arial" w:hAnsi="Arial"/>
          <w:sz w:val="22"/>
          <w:szCs w:val="22"/>
        </w:rPr>
        <w:t xml:space="preserve">This is not a radical proposal. EPR is already applied to electronics, batteries, and packaging in the EU and several other jurisdictions. It is time to apply it to AI hardware.</w:t>
      </w:r>
    </w:p>
    <w:p>
      <w:pPr>
        <w:pStyle w:val="Heading2"/>
      </w:pPr>
      <w:r>
        <w:t xml:space="preserve">5.5 Governance Architecture: Who Regulates?</w:t>
      </w:r>
    </w:p>
    <w:p>
      <w:pPr>
        <w:pStyle w:val="Heading3"/>
      </w:pPr>
      <w:r>
        <w:t xml:space="preserve">5.5.1 A Dedicated AI Regulatory Agency</w:t>
      </w:r>
    </w:p>
    <w:p>
      <w:pPr>
        <w:spacing w:after="200" w:line="320"/>
      </w:pPr>
      <w:r>
        <w:rPr>
          <w:rFonts w:ascii="Arial" w:cs="Arial" w:eastAsia="Arial" w:hAnsi="Arial"/>
          <w:sz w:val="22"/>
          <w:szCs w:val="22"/>
        </w:rPr>
        <w:t xml:space="preserve">The UK, US, and other major economies should establish a dedicated AI Regulatory Agency with the following mandate:</w:t>
      </w:r>
    </w:p>
    <w:p>
      <w:pPr>
        <w:pStyle w:val="ListParagraph"/>
        <w:numPr>
          <w:ilvl w:val="0"/>
          <w:numId w:val="2"/>
        </w:numPr>
        <w:spacing w:after="120" w:line="300"/>
      </w:pPr>
      <w:r>
        <w:rPr>
          <w:rFonts w:ascii="Arial" w:cs="Arial" w:eastAsia="Arial" w:hAnsi="Arial"/>
          <w:sz w:val="22"/>
          <w:szCs w:val="22"/>
        </w:rPr>
        <w:t xml:space="preserve">Auditing: Conduct independent audits of high-risk AI systems, with access to model weights, training data, and source code.</w:t>
      </w:r>
    </w:p>
    <w:p>
      <w:pPr>
        <w:pStyle w:val="ListParagraph"/>
        <w:numPr>
          <w:ilvl w:val="0"/>
          <w:numId w:val="2"/>
        </w:numPr>
        <w:spacing w:after="120" w:line="300"/>
      </w:pPr>
      <w:r>
        <w:rPr>
          <w:rFonts w:ascii="Arial" w:cs="Arial" w:eastAsia="Arial" w:hAnsi="Arial"/>
          <w:sz w:val="22"/>
          <w:szCs w:val="22"/>
        </w:rPr>
        <w:t xml:space="preserve">Licensing: Issue licenses for high-risk deployments, with the authority to revoke licenses for non-compliance.</w:t>
      </w:r>
    </w:p>
    <w:p>
      <w:pPr>
        <w:pStyle w:val="ListParagraph"/>
        <w:numPr>
          <w:ilvl w:val="0"/>
          <w:numId w:val="2"/>
        </w:numPr>
        <w:spacing w:after="120" w:line="300"/>
      </w:pPr>
      <w:r>
        <w:rPr>
          <w:rFonts w:ascii="Arial" w:cs="Arial" w:eastAsia="Arial" w:hAnsi="Arial"/>
          <w:sz w:val="22"/>
          <w:szCs w:val="22"/>
        </w:rPr>
        <w:t xml:space="preserve">Enforcement: Impose fines, issue cease-and-desist orders, and pursue legal action against developers who violate transparency, liability, or sustainability standards.</w:t>
      </w:r>
    </w:p>
    <w:p>
      <w:pPr>
        <w:pStyle w:val="ListParagraph"/>
        <w:numPr>
          <w:ilvl w:val="0"/>
          <w:numId w:val="2"/>
        </w:numPr>
        <w:spacing w:after="120" w:line="300"/>
      </w:pPr>
      <w:r>
        <w:rPr>
          <w:rFonts w:ascii="Arial" w:cs="Arial" w:eastAsia="Arial" w:hAnsi="Arial"/>
          <w:sz w:val="22"/>
          <w:szCs w:val="22"/>
        </w:rPr>
        <w:t xml:space="preserve">Research: Fund independent research on AI bias, interpretability, and environmental impact, to build the evidence base for future regulation.</w:t>
      </w:r>
    </w:p>
    <w:p>
      <w:pPr>
        <w:spacing w:after="200" w:line="320"/>
      </w:pPr>
      <w:r>
        <w:rPr>
          <w:rFonts w:ascii="Arial" w:cs="Arial" w:eastAsia="Arial" w:hAnsi="Arial"/>
          <w:sz w:val="22"/>
          <w:szCs w:val="22"/>
        </w:rPr>
        <w:t xml:space="preserve">This agency should be funded by fees on developers, not by general taxation, to ensure that the cost of regulation is borne by the industry that creates the risk.</w:t>
      </w:r>
    </w:p>
    <w:p>
      <w:pPr>
        <w:pStyle w:val="Heading3"/>
      </w:pPr>
      <w:r>
        <w:t xml:space="preserve">5.5.2 International Cooperation</w:t>
      </w:r>
    </w:p>
    <w:p>
      <w:pPr>
        <w:spacing w:after="200" w:line="320"/>
      </w:pPr>
      <w:r>
        <w:rPr>
          <w:rFonts w:ascii="Arial" w:cs="Arial" w:eastAsia="Arial" w:hAnsi="Arial"/>
          <w:sz w:val="22"/>
          <w:szCs w:val="22"/>
        </w:rPr>
        <w:t xml:space="preserve">AI is a global technology, and its harms do not respect borders. Training data is scraped from the global internet. Models are deployed across multiple jurisdictions. E-waste is exported to the Global South. Carbon emissions affect the entire planet. We need international coordination on AI governance, modeled on the Intergovernmental Panel on Climate Change (IPCC) or the International Atomic Energy Agency (IAEA).</w:t>
      </w:r>
    </w:p>
    <w:p>
      <w:pPr>
        <w:pStyle w:val="ListParagraph"/>
        <w:numPr>
          <w:ilvl w:val="0"/>
          <w:numId w:val="2"/>
        </w:numPr>
        <w:spacing w:after="120" w:line="300"/>
      </w:pPr>
      <w:r>
        <w:rPr>
          <w:rFonts w:ascii="Arial" w:cs="Arial" w:eastAsia="Arial" w:hAnsi="Arial"/>
          <w:sz w:val="22"/>
          <w:szCs w:val="22"/>
        </w:rPr>
        <w:t xml:space="preserve">Common Standards: Agreed-upon definitions of bias, fairness, and sustainability metrics, to enable cross-jurisdictional comparison and enforcement.</w:t>
      </w:r>
    </w:p>
    <w:p>
      <w:pPr>
        <w:pStyle w:val="ListParagraph"/>
        <w:numPr>
          <w:ilvl w:val="0"/>
          <w:numId w:val="2"/>
        </w:numPr>
        <w:spacing w:after="120" w:line="300"/>
      </w:pPr>
      <w:r>
        <w:rPr>
          <w:rFonts w:ascii="Arial" w:cs="Arial" w:eastAsia="Arial" w:hAnsi="Arial"/>
          <w:sz w:val="22"/>
          <w:szCs w:val="22"/>
        </w:rPr>
        <w:t xml:space="preserve">Shared Reporting: A global registry of AI systems, with common data reporting standards, to enable transparency and accountability across borders.</w:t>
      </w:r>
    </w:p>
    <w:p>
      <w:pPr>
        <w:pStyle w:val="ListParagraph"/>
        <w:numPr>
          <w:ilvl w:val="0"/>
          <w:numId w:val="2"/>
        </w:numPr>
        <w:spacing w:after="120" w:line="300"/>
      </w:pPr>
      <w:r>
        <w:rPr>
          <w:rFonts w:ascii="Arial" w:cs="Arial" w:eastAsia="Arial" w:hAnsi="Arial"/>
          <w:sz w:val="22"/>
          <w:szCs w:val="22"/>
        </w:rPr>
        <w:t xml:space="preserve">Dispute Resolution: Mechanisms for resolving cross-border disputes, particularly when an AI system developed in one country causes harm in another.</w:t>
      </w:r>
    </w:p>
    <w:p>
      <w:pPr>
        <w:pStyle w:val="Heading3"/>
      </w:pPr>
      <w:r>
        <w:t xml:space="preserve">5.5.3 Civil Society and Public Participation</w:t>
      </w:r>
    </w:p>
    <w:p>
      <w:pPr>
        <w:spacing w:after="200" w:line="320"/>
      </w:pPr>
      <w:r>
        <w:rPr>
          <w:rFonts w:ascii="Arial" w:cs="Arial" w:eastAsia="Arial" w:hAnsi="Arial"/>
          <w:sz w:val="22"/>
          <w:szCs w:val="22"/>
        </w:rPr>
        <w:t xml:space="preserve">Regulation cannot be left exclusively to governments and corporations. Civil society organizations, affected communities, and independent researchers must have a seat at the table.</w:t>
      </w:r>
    </w:p>
    <w:p>
      <w:pPr>
        <w:pStyle w:val="ListParagraph"/>
        <w:numPr>
          <w:ilvl w:val="0"/>
          <w:numId w:val="2"/>
        </w:numPr>
        <w:spacing w:after="120" w:line="300"/>
      </w:pPr>
      <w:r>
        <w:rPr>
          <w:rFonts w:ascii="Arial" w:cs="Arial" w:eastAsia="Arial" w:hAnsi="Arial"/>
          <w:sz w:val="22"/>
          <w:szCs w:val="22"/>
        </w:rPr>
        <w:t xml:space="preserve">Public Consultations: All significant AI regulations should be subject to public consultation, with particular attention to communities most likely to be affected.</w:t>
      </w:r>
    </w:p>
    <w:p>
      <w:pPr>
        <w:pStyle w:val="ListParagraph"/>
        <w:numPr>
          <w:ilvl w:val="0"/>
          <w:numId w:val="2"/>
        </w:numPr>
        <w:spacing w:after="120" w:line="300"/>
      </w:pPr>
      <w:r>
        <w:rPr>
          <w:rFonts w:ascii="Arial" w:cs="Arial" w:eastAsia="Arial" w:hAnsi="Arial"/>
          <w:sz w:val="22"/>
          <w:szCs w:val="22"/>
        </w:rPr>
        <w:t xml:space="preserve">Whistleblower Protections: Strong protections for AI whistleblowers, who are often the first to identify harms.</w:t>
      </w:r>
    </w:p>
    <w:p>
      <w:pPr>
        <w:pStyle w:val="ListParagraph"/>
        <w:numPr>
          <w:ilvl w:val="0"/>
          <w:numId w:val="2"/>
        </w:numPr>
        <w:spacing w:after="120" w:line="300"/>
      </w:pPr>
      <w:r>
        <w:rPr>
          <w:rFonts w:ascii="Arial" w:cs="Arial" w:eastAsia="Arial" w:hAnsi="Arial"/>
          <w:sz w:val="22"/>
          <w:szCs w:val="22"/>
        </w:rPr>
        <w:t xml:space="preserve">Citizen Oversight Boards: For major AI deployments, citizen oversight boards with the authority to review decisions and recommend changes.</w:t>
      </w:r>
    </w:p>
    <w:p>
      <w:pPr>
        <w:pStyle w:val="Heading2"/>
      </w:pPr>
      <w:r>
        <w:t xml:space="preserve">5.6 Conclusion of Chapter 5</w:t>
      </w:r>
    </w:p>
    <w:p>
      <w:pPr>
        <w:spacing w:after="200" w:line="320"/>
      </w:pPr>
      <w:r>
        <w:rPr>
          <w:rFonts w:ascii="Arial" w:cs="Arial" w:eastAsia="Arial" w:hAnsi="Arial"/>
          <w:sz w:val="22"/>
          <w:szCs w:val="22"/>
        </w:rPr>
        <w:t xml:space="preserve">The Alignment Mirage has served its purpose: it has distracted us from the real harms of Narrow AI while enriching a handful of corporations and consolidating their power. But the mirage is fading. The evidence is mounting. And the public is beginning to notice.</w:t>
      </w:r>
    </w:p>
    <w:p>
      <w:pPr>
        <w:spacing w:after="200" w:line="320"/>
      </w:pPr>
      <w:r>
        <w:rPr>
          <w:rFonts w:ascii="Arial" w:cs="Arial" w:eastAsia="Arial" w:hAnsi="Arial"/>
          <w:sz w:val="22"/>
          <w:szCs w:val="22"/>
        </w:rPr>
        <w:t xml:space="preserve">It is time to shift focus from speculative long-term scenarios to practical governance of systems already deployed. The regulatory framework proposed in this chapter is pragmatic, borrowed from existing domains — pharmaceuticals, environmental law, product liability — and adapted to the specific characteristics of AI.</w:t>
      </w:r>
    </w:p>
    <w:p>
      <w:pPr>
        <w:spacing w:after="200" w:line="320"/>
      </w:pPr>
      <w:r>
        <w:rPr>
          <w:rFonts w:ascii="Arial" w:cs="Arial" w:eastAsia="Arial" w:hAnsi="Arial"/>
          <w:sz w:val="22"/>
          <w:szCs w:val="22"/>
        </w:rPr>
        <w:t xml:space="preserve">Transparency. Liability. Sustainability. These are not techno-utopian dreams. They are the basic requirements of a civilized society. They are the minimum standards we demand of any technology that has the power to shape human lives. We do not need to stop AI. We need to regulate it. We need to audit it, measure it, and hold it to the same standards we apply to other technologies that have the power to shape human lives.</w:t>
      </w:r>
    </w:p>
    <w:p>
      <w:pPr>
        <w:spacing w:after="200"/>
      </w:pPr>
      <w:r>
        <w:t xml:space="preserve"/>
      </w:r>
    </w:p>
    <w:p>
      <w:pPr>
        <w:pStyle w:val="Heading1"/>
      </w:pPr>
      <w:r>
        <w:t xml:space="preserve">6. Conclusion – Calm Down and Look at the Screen</w:t>
      </w:r>
    </w:p>
    <w:p>
      <w:pPr>
        <w:pStyle w:val="Heading2"/>
      </w:pPr>
      <w:r>
        <w:t xml:space="preserve">6.1 The Ghost and the Machine</w:t>
      </w:r>
    </w:p>
    <w:p>
      <w:pPr>
        <w:spacing w:after="200" w:line="320"/>
      </w:pPr>
      <w:r>
        <w:rPr>
          <w:rFonts w:ascii="Arial" w:cs="Arial" w:eastAsia="Arial" w:hAnsi="Arial"/>
          <w:sz w:val="22"/>
          <w:szCs w:val="22"/>
        </w:rPr>
        <w:t xml:space="preserve">This white paper has traveled through the structure of the AI risk narrative, examined the technical evidence for and against AGI claims, catalogued the documented harms of Narrow AI already deployed, and proposed a concrete regulatory framework to address those harms.</w:t>
      </w:r>
    </w:p>
    <w:p>
      <w:pPr>
        <w:spacing w:after="200" w:line="320"/>
      </w:pPr>
      <w:r>
        <w:rPr>
          <w:rFonts w:ascii="Arial" w:cs="Arial" w:eastAsia="Arial" w:hAnsi="Arial"/>
          <w:sz w:val="22"/>
          <w:szCs w:val="22"/>
        </w:rPr>
        <w:t xml:space="preserve">The evidence is overwhelming. The “ghost” of superintelligence is a psychological projection, a marketing strategy, and a regulatory smokescreen. It serves the interests of billionaires, venture capitalists, and governments, all of whom benefit from the narrative that AI is an existential force beyond ordinary human governance.</w:t>
      </w:r>
    </w:p>
    <w:p>
      <w:pPr>
        <w:spacing w:after="200" w:line="320"/>
      </w:pPr>
      <w:r>
        <w:rPr>
          <w:rFonts w:ascii="Arial" w:cs="Arial" w:eastAsia="Arial" w:hAnsi="Arial"/>
          <w:sz w:val="22"/>
          <w:szCs w:val="22"/>
        </w:rPr>
        <w:t xml:space="preserve">Meanwhile, the “machine” — the actual AI systems deployed in our hospitals, courts, schools, and workplaces — is quietly, systematically, and measurably harming millions of people. It is reinforcing caste discrimination in India. It is downplaying women’s health needs in the UK. It is biasing clinical triage against marginalized groups in emergency departments. It is consuming water at rates that could equal the needs of 1.3 billion people. It is generating e-waste at industrial scales, much of it exported to the Global South. It is undermining trust in public institutions through opacity and unaccountability. These are not hypothetical. They are documented. They are replicated. They are happening right now.</w:t>
      </w:r>
    </w:p>
    <w:p>
      <w:pPr>
        <w:pStyle w:val="Heading2"/>
      </w:pPr>
      <w:r>
        <w:t xml:space="preserve">6.2 The Failure of Imagination</w:t>
      </w:r>
    </w:p>
    <w:p>
      <w:pPr>
        <w:spacing w:after="200" w:line="320"/>
      </w:pPr>
      <w:r>
        <w:rPr>
          <w:rFonts w:ascii="Arial" w:cs="Arial" w:eastAsia="Arial" w:hAnsi="Arial"/>
          <w:sz w:val="22"/>
          <w:szCs w:val="22"/>
        </w:rPr>
        <w:t xml:space="preserve">There is a profound failure of imagination at the heart of the Alignment Mirage. We have imagined a future where a digital god decides to destroy us — and we have failed to imagine a future where we govern our own technology responsibly.</w:t>
      </w:r>
    </w:p>
    <w:p>
      <w:pPr>
        <w:spacing w:after="200" w:line="320"/>
      </w:pPr>
      <w:r>
        <w:rPr>
          <w:rFonts w:ascii="Arial" w:cs="Arial" w:eastAsia="Arial" w:hAnsi="Arial"/>
          <w:sz w:val="22"/>
          <w:szCs w:val="22"/>
        </w:rPr>
        <w:t xml:space="preserve">This is not a technological failure. It is a political failure. We have the technical capacity to audit algorithms, to measure bias, to track energy consumption, and to design interpretable systems. What we lack is the collective will to demand accountability from the corporations that build these systems and the governments that license them.</w:t>
      </w:r>
    </w:p>
    <w:p>
      <w:pPr>
        <w:spacing w:after="200" w:line="320"/>
      </w:pPr>
      <w:r>
        <w:rPr>
          <w:rFonts w:ascii="Arial" w:cs="Arial" w:eastAsia="Arial" w:hAnsi="Arial"/>
          <w:sz w:val="22"/>
          <w:szCs w:val="22"/>
        </w:rPr>
        <w:t xml:space="preserve">The tech industry has framed AI as an inevitability — a force of nature that we must simply adapt to. But AI is not a hurricane. It is not an earthquake. It is a product. It is designed by humans, trained on human data, deployed by human institutions, and used by human beings. Every step of that chain is subject to human choice, human regulation, and human accountability. We must reclaim that agency. We must stop treating AI as a god and start treating it as a tool.</w:t>
      </w:r>
    </w:p>
    <w:p>
      <w:pPr>
        <w:pStyle w:val="Heading2"/>
      </w:pPr>
      <w:r>
        <w:t xml:space="preserve">6.3 Five Calls to Action</w:t>
      </w:r>
    </w:p>
    <w:p>
      <w:pPr>
        <w:pStyle w:val="Heading3"/>
      </w:pPr>
      <w:r>
        <w:t xml:space="preserve">6.3.1 To Policymakers: Regulate the Real</w:t>
      </w:r>
    </w:p>
    <w:p>
      <w:pPr>
        <w:spacing w:after="200" w:line="320"/>
      </w:pPr>
      <w:r>
        <w:rPr>
          <w:rFonts w:ascii="Arial" w:cs="Arial" w:eastAsia="Arial" w:hAnsi="Arial"/>
          <w:sz w:val="22"/>
          <w:szCs w:val="22"/>
        </w:rPr>
        <w:t xml:space="preserve">Stop funding AI Safety Institutes that focus on hypothetical superintelligence. Redirect those resources toward auditing the systems already deployed in public infrastructure. Establish mandatory Model Cards, Algorithmic Impact Assessments, and strict liability for developers. Implement energy and water efficiency standards. Create dedicated AI regulatory agencies with enforcement authority.</w:t>
      </w:r>
    </w:p>
    <w:p>
      <w:pPr>
        <w:spacing w:after="200" w:line="320"/>
      </w:pPr>
      <w:r>
        <w:rPr>
          <w:rFonts w:ascii="Arial" w:cs="Arial" w:eastAsia="Arial" w:hAnsi="Arial"/>
          <w:sz w:val="22"/>
          <w:szCs w:val="22"/>
        </w:rPr>
        <w:t xml:space="preserve">The EU AI Act is a start, but it is insufficient. The UK has delayed its AI Bill and signaled that it will introduce only “narrow legislation.” The US Executive Order is focused on national security, not civil rights. We need comprehensive, enforceable regulation that addresses the real harms documented in this paper.</w:t>
      </w:r>
    </w:p>
    <w:p>
      <w:pPr>
        <w:pStyle w:val="Heading3"/>
      </w:pPr>
      <w:r>
        <w:t xml:space="preserve">6.3.2 To Technologists: Build Accountable Systems</w:t>
      </w:r>
    </w:p>
    <w:p>
      <w:pPr>
        <w:spacing w:after="200" w:line="320"/>
      </w:pPr>
      <w:r>
        <w:rPr>
          <w:rFonts w:ascii="Arial" w:cs="Arial" w:eastAsia="Arial" w:hAnsi="Arial"/>
          <w:sz w:val="22"/>
          <w:szCs w:val="22"/>
        </w:rPr>
        <w:t xml:space="preserve">You are not gods. You are engineers. You have a professional responsibility to ensure that the systems you build do not cause harm. This is not “ethics” in the abstract; it is engineering in the concrete. You must:</w:t>
      </w:r>
    </w:p>
    <w:p>
      <w:pPr>
        <w:pStyle w:val="ListParagraph"/>
        <w:numPr>
          <w:ilvl w:val="0"/>
          <w:numId w:val="2"/>
        </w:numPr>
        <w:spacing w:after="120" w:line="300"/>
      </w:pPr>
      <w:r>
        <w:rPr>
          <w:rFonts w:ascii="Arial" w:cs="Arial" w:eastAsia="Arial" w:hAnsi="Arial"/>
          <w:sz w:val="22"/>
          <w:szCs w:val="22"/>
        </w:rPr>
        <w:t xml:space="preserve">Document your training data, including its biases and limitations.</w:t>
      </w:r>
    </w:p>
    <w:p>
      <w:pPr>
        <w:pStyle w:val="ListParagraph"/>
        <w:numPr>
          <w:ilvl w:val="0"/>
          <w:numId w:val="2"/>
        </w:numPr>
        <w:spacing w:after="120" w:line="300"/>
      </w:pPr>
      <w:r>
        <w:rPr>
          <w:rFonts w:ascii="Arial" w:cs="Arial" w:eastAsia="Arial" w:hAnsi="Arial"/>
          <w:sz w:val="22"/>
          <w:szCs w:val="22"/>
        </w:rPr>
        <w:t xml:space="preserve">Conduct independent audits of your systems before deployment.</w:t>
      </w:r>
    </w:p>
    <w:p>
      <w:pPr>
        <w:pStyle w:val="ListParagraph"/>
        <w:numPr>
          <w:ilvl w:val="0"/>
          <w:numId w:val="2"/>
        </w:numPr>
        <w:spacing w:after="120" w:line="300"/>
      </w:pPr>
      <w:r>
        <w:rPr>
          <w:rFonts w:ascii="Arial" w:cs="Arial" w:eastAsia="Arial" w:hAnsi="Arial"/>
          <w:sz w:val="22"/>
          <w:szCs w:val="22"/>
        </w:rPr>
        <w:t xml:space="preserve">Design for interpretability, not just performance.</w:t>
      </w:r>
    </w:p>
    <w:p>
      <w:pPr>
        <w:pStyle w:val="ListParagraph"/>
        <w:numPr>
          <w:ilvl w:val="0"/>
          <w:numId w:val="2"/>
        </w:numPr>
        <w:spacing w:after="120" w:line="300"/>
      </w:pPr>
      <w:r>
        <w:rPr>
          <w:rFonts w:ascii="Arial" w:cs="Arial" w:eastAsia="Arial" w:hAnsi="Arial"/>
          <w:sz w:val="22"/>
          <w:szCs w:val="22"/>
        </w:rPr>
        <w:t xml:space="preserve">Report your energy and water consumption.</w:t>
      </w:r>
    </w:p>
    <w:p>
      <w:pPr>
        <w:pStyle w:val="ListParagraph"/>
        <w:numPr>
          <w:ilvl w:val="0"/>
          <w:numId w:val="2"/>
        </w:numPr>
        <w:spacing w:after="120" w:line="300"/>
      </w:pPr>
      <w:r>
        <w:rPr>
          <w:rFonts w:ascii="Arial" w:cs="Arial" w:eastAsia="Arial" w:hAnsi="Arial"/>
          <w:sz w:val="22"/>
          <w:szCs w:val="22"/>
        </w:rPr>
        <w:t xml:space="preserve">Build appeals mechanisms into high-risk systems.</w:t>
      </w:r>
    </w:p>
    <w:p>
      <w:pPr>
        <w:pStyle w:val="ListParagraph"/>
        <w:numPr>
          <w:ilvl w:val="0"/>
          <w:numId w:val="2"/>
        </w:numPr>
        <w:spacing w:after="120" w:line="300"/>
      </w:pPr>
      <w:r>
        <w:rPr>
          <w:rFonts w:ascii="Arial" w:cs="Arial" w:eastAsia="Arial" w:hAnsi="Arial"/>
          <w:sz w:val="22"/>
          <w:szCs w:val="22"/>
        </w:rPr>
        <w:t xml:space="preserve">Support whistleblowers who identify harms.</w:t>
      </w:r>
    </w:p>
    <w:p>
      <w:pPr>
        <w:spacing w:after="200" w:line="320"/>
      </w:pPr>
      <w:r>
        <w:rPr>
          <w:rFonts w:ascii="Arial" w:cs="Arial" w:eastAsia="Arial" w:hAnsi="Arial"/>
          <w:sz w:val="22"/>
          <w:szCs w:val="22"/>
        </w:rPr>
        <w:t xml:space="preserve">The “move fast and break things” era is over. The “break things” are people.</w:t>
      </w:r>
    </w:p>
    <w:p>
      <w:pPr>
        <w:pStyle w:val="Heading3"/>
      </w:pPr>
      <w:r>
        <w:t xml:space="preserve">6.3.3 To Investors: Demand Accountability</w:t>
      </w:r>
    </w:p>
    <w:p>
      <w:pPr>
        <w:spacing w:after="200" w:line="320"/>
      </w:pPr>
      <w:r>
        <w:rPr>
          <w:rFonts w:ascii="Arial" w:cs="Arial" w:eastAsia="Arial" w:hAnsi="Arial"/>
          <w:sz w:val="22"/>
          <w:szCs w:val="22"/>
        </w:rPr>
        <w:t xml:space="preserve">Your capital is fueling the AI boom. You have a fiduciary responsibility to understand the risks. The risks are not just existential; they are legal, reputational, and operational. Companies that deploy biased systems will face lawsuits, regulatory fines, and consumer boycotts. Companies that conceal their environmental impact will face divestment and public backlash.</w:t>
      </w:r>
    </w:p>
    <w:p>
      <w:pPr>
        <w:spacing w:after="200" w:line="320"/>
      </w:pPr>
      <w:r>
        <w:rPr>
          <w:rFonts w:ascii="Arial" w:cs="Arial" w:eastAsia="Arial" w:hAnsi="Arial"/>
          <w:sz w:val="22"/>
          <w:szCs w:val="22"/>
        </w:rPr>
        <w:t xml:space="preserve">Demand transparency. Demand audits. Demand sustainability. Invest in companies that are building accountable AI, not just profitable AI. Your portfolio depends on it.</w:t>
      </w:r>
    </w:p>
    <w:p>
      <w:pPr>
        <w:pStyle w:val="Heading3"/>
      </w:pPr>
      <w:r>
        <w:t xml:space="preserve">6.3.4 To Journalists: Stop Amplifying the Hype</w:t>
      </w:r>
    </w:p>
    <w:p>
      <w:pPr>
        <w:spacing w:after="200" w:line="320"/>
      </w:pPr>
      <w:r>
        <w:rPr>
          <w:rFonts w:ascii="Arial" w:cs="Arial" w:eastAsia="Arial" w:hAnsi="Arial"/>
          <w:sz w:val="22"/>
          <w:szCs w:val="22"/>
        </w:rPr>
        <w:t xml:space="preserve">The media has been complicit in the Alignment Mirage. Apocalyptic headlines generate clicks, but they also distort public understanding and divert attention from real harms. Every article about “AI extinction risk” should be accompanied by a comparable article about algorithmic bias, energy consumption, or e-waste.</w:t>
      </w:r>
    </w:p>
    <w:p>
      <w:pPr>
        <w:spacing w:after="200" w:line="320"/>
      </w:pPr>
      <w:r>
        <w:rPr>
          <w:rFonts w:ascii="Arial" w:cs="Arial" w:eastAsia="Arial" w:hAnsi="Arial"/>
          <w:sz w:val="22"/>
          <w:szCs w:val="22"/>
        </w:rPr>
        <w:t xml:space="preserve">Journalists must: demand that p(doom) estimates be accompanied by explicit methodologies, reference classes, and falsifiability criteria; demand access to model weights and training data for independent audits; cover the real harms of AI with the same intensity as the hypothetical risks; and amplify the voices of affected communities, not just tech executives. The pen is mightier than the algorithm. Use it.</w:t>
      </w:r>
    </w:p>
    <w:p>
      <w:pPr>
        <w:pStyle w:val="Heading3"/>
      </w:pPr>
      <w:r>
        <w:t xml:space="preserve">6.3.5 To Citizens: Demand Your Rights</w:t>
      </w:r>
    </w:p>
    <w:p>
      <w:pPr>
        <w:spacing w:after="200" w:line="320"/>
      </w:pPr>
      <w:r>
        <w:rPr>
          <w:rFonts w:ascii="Arial" w:cs="Arial" w:eastAsia="Arial" w:hAnsi="Arial"/>
          <w:sz w:val="22"/>
          <w:szCs w:val="22"/>
        </w:rPr>
        <w:t xml:space="preserve">You are not passive consumers of AI. You are citizens with rights. You have the right to know when an algorithm is making decisions about your life. You have the right to challenge those decisions. You have the right to live in a society that is governed by transparent, accountable, and sustainable technology.</w:t>
      </w:r>
    </w:p>
    <w:p>
      <w:pPr>
        <w:spacing w:after="200" w:line="320"/>
      </w:pPr>
      <w:r>
        <w:rPr>
          <w:rFonts w:ascii="Arial" w:cs="Arial" w:eastAsia="Arial" w:hAnsi="Arial"/>
          <w:sz w:val="22"/>
          <w:szCs w:val="22"/>
        </w:rPr>
        <w:t xml:space="preserve">Demand these rights. Ask your elected representatives what they are doing to regulate AI. Support civil society organizations that are fighting for algorithmic justice. Boycott companies that refuse to disclose their AI practices. Vote with your wallet, your voice, and your ballot.</w:t>
      </w:r>
    </w:p>
    <w:p>
      <w:pPr>
        <w:pStyle w:val="Heading2"/>
      </w:pPr>
      <w:r>
        <w:t xml:space="preserve">6.4 The Optimism of the Practical</w:t>
      </w:r>
    </w:p>
    <w:p>
      <w:pPr>
        <w:spacing w:after="200" w:line="320"/>
      </w:pPr>
      <w:r>
        <w:rPr>
          <w:rFonts w:ascii="Arial" w:cs="Arial" w:eastAsia="Arial" w:hAnsi="Arial"/>
          <w:sz w:val="22"/>
          <w:szCs w:val="22"/>
        </w:rPr>
        <w:t xml:space="preserve">There is a temptation, after reading a paper like this, to succumb to despair. The challenges are immense. The harms are already embedded in our institutions. The corporations are powerful. The governments are slow.</w:t>
      </w:r>
    </w:p>
    <w:p>
      <w:pPr>
        <w:spacing w:after="200" w:line="320"/>
      </w:pPr>
      <w:r>
        <w:rPr>
          <w:rFonts w:ascii="Arial" w:cs="Arial" w:eastAsia="Arial" w:hAnsi="Arial"/>
          <w:sz w:val="22"/>
          <w:szCs w:val="22"/>
        </w:rPr>
        <w:t xml:space="preserve">But there is also cause for hope. The evidence is mounting. The public is waking up. Regulators are beginning to act. Independent researchers are uncovering bias and documenting environmental damage. Civil society organizations are advocating for accountability. Whistleblowers are speaking out.</w:t>
      </w:r>
    </w:p>
    <w:p>
      <w:pPr>
        <w:spacing w:after="200" w:line="320"/>
      </w:pPr>
      <w:r>
        <w:rPr>
          <w:rFonts w:ascii="Arial" w:cs="Arial" w:eastAsia="Arial" w:hAnsi="Arial"/>
          <w:sz w:val="22"/>
          <w:szCs w:val="22"/>
        </w:rPr>
        <w:t xml:space="preserve">The solutions are not complex. They are not technological breakthroughs. They are governance. They are transparency. They are liability. They are sustainability. These are not utopian dreams. They are the basic requirements of a civilized society. We already apply them to pharmaceuticals, automobiles, and power plants. We can apply them to AI.</w:t>
      </w:r>
    </w:p>
    <w:p>
      <w:pPr>
        <w:spacing w:after="200" w:line="320"/>
      </w:pPr>
      <w:r>
        <w:rPr>
          <w:rFonts w:ascii="Arial" w:cs="Arial" w:eastAsia="Arial" w:hAnsi="Arial"/>
          <w:sz w:val="22"/>
          <w:szCs w:val="22"/>
        </w:rPr>
        <w:t xml:space="preserve">The path forward is not to stop AI. It is to govern it. The path forward is not to fear the ghost. It is to audit the machine. The path forward is not to retreat from technology. It is to reclaim it.</w:t>
      </w:r>
    </w:p>
    <w:p>
      <w:pPr>
        <w:pStyle w:val="Heading2"/>
      </w:pPr>
      <w:r>
        <w:t xml:space="preserve">6.5 Final Words: The Machine in the Room</w:t>
      </w:r>
    </w:p>
    <w:p>
      <w:pPr>
        <w:spacing w:after="200" w:line="320"/>
      </w:pPr>
      <w:r>
        <w:rPr>
          <w:rFonts w:ascii="Arial" w:cs="Arial" w:eastAsia="Arial" w:hAnsi="Arial"/>
          <w:sz w:val="22"/>
          <w:szCs w:val="22"/>
        </w:rPr>
        <w:t xml:space="preserve">There is a machine in the room. It is not a god. It is not a ghost. It is a statistical engine, trained on human data, deployed by human institutions, and causing human harm.</w:t>
      </w:r>
    </w:p>
    <w:p>
      <w:pPr>
        <w:spacing w:after="200" w:line="320"/>
      </w:pPr>
      <w:r>
        <w:rPr>
          <w:rFonts w:ascii="Arial" w:cs="Arial" w:eastAsia="Arial" w:hAnsi="Arial"/>
          <w:sz w:val="22"/>
          <w:szCs w:val="22"/>
        </w:rPr>
        <w:t xml:space="preserve">We have spent too long looking past it, toward a hypothetical future that may never arrive. We have allowed ourselves to be distracted by the most spectacular fiction of our time: that we are building a digital god that might destroy us.</w:t>
      </w:r>
    </w:p>
    <w:p>
      <w:pPr>
        <w:spacing w:after="200" w:line="320"/>
      </w:pPr>
      <w:r>
        <w:rPr>
          <w:rFonts w:ascii="Arial" w:cs="Arial" w:eastAsia="Arial" w:hAnsi="Arial"/>
          <w:sz w:val="22"/>
          <w:szCs w:val="22"/>
        </w:rPr>
        <w:t xml:space="preserve">We are not building a god. We are building a mirror. And what we see in that mirror is our own biases, our own inequalities, our own environmental recklessness, reflected back at us with terrifying fidelity.</w:t>
      </w:r>
    </w:p>
    <w:p>
      <w:pPr>
        <w:spacing w:after="200" w:line="320"/>
      </w:pPr>
      <w:r>
        <w:rPr>
          <w:rFonts w:ascii="Arial" w:cs="Arial" w:eastAsia="Arial" w:hAnsi="Arial"/>
          <w:sz w:val="22"/>
          <w:szCs w:val="22"/>
        </w:rPr>
        <w:t xml:space="preserve">The ghost is a distraction. The machine is the reality.</w:t>
      </w:r>
    </w:p>
    <w:p>
      <w:pPr>
        <w:spacing w:after="200" w:line="320"/>
      </w:pPr>
      <w:r>
        <w:rPr>
          <w:rFonts w:ascii="Arial" w:cs="Arial" w:eastAsia="Arial" w:hAnsi="Arial"/>
          <w:sz w:val="22"/>
          <w:szCs w:val="22"/>
        </w:rPr>
        <w:t xml:space="preserve">Let us stop looking at the ghost. Let us look at the machine. Let us audit it, regulate it, and hold it accountable. The future of AI is not a sci-fi thriller. It is a bureaucratic grind. And it is in that grind — in the fine print of datasets, the opacity of neural weights, and the emissions of server farms — that the actual fate of society will be decided. Let us get to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MACHINE IN THE ROOM</w:t>
            </w:r>
          </w:p>
          <w:p>
            <w:pPr>
              <w:spacing w:line="300"/>
            </w:pPr>
            <w:r>
              <w:rPr>
                <w:rFonts w:ascii="Arial" w:cs="Arial" w:eastAsia="Arial" w:hAnsi="Arial"/>
                <w:i/>
                <w:iCs/>
                <w:sz w:val="22"/>
                <w:szCs w:val="22"/>
              </w:rPr>
              <w:t xml:space="preserve">There is a machine in the room. It is not a god. It is not a ghost. It is a statistical engine, trained on human data, deployed by human institutions, and causing human harm. We are not building Skynet. We are building mirrors. And what we see in those mirrors is our own biases, our own inequalities, our own environmental recklessness, reflected back at us with terrifying fidelity. The ghost is a distraction. The machine is the reality. Let us audit it, regulate it, and hold it accountable.</w:t>
            </w:r>
          </w:p>
        </w:tc>
      </w:tr>
    </w:tbl>
    <w:p>
      <w:r>
        <w:br w:type="page"/>
      </w:r>
    </w:p>
    <w:p>
      <w:pPr>
        <w:pStyle w:val="Heading1"/>
      </w:pPr>
      <w:r>
        <w:t xml:space="preserve">Methodology</w:t>
      </w:r>
    </w:p>
    <w:p>
      <w:pPr>
        <w:spacing w:after="200" w:line="320"/>
      </w:pPr>
      <w:r>
        <w:rPr>
          <w:rFonts w:ascii="Arial" w:cs="Arial" w:eastAsia="Arial" w:hAnsi="Arial"/>
          <w:sz w:val="22"/>
          <w:szCs w:val="22"/>
        </w:rPr>
        <w:t xml:space="preserve">This white paper employs a qualitative multi-method research design combining: (1) Critical Discourse Analysis of media narratives, corporate communications, and regulatory documents surrounding AI risk; (2) Technical Literature Review of computer science research on transformer architectures, scaling laws, and interpretability; (3) Empirical Case Study Analysis of documented algorithmic bias, energy consumption, and environmental impact assessments; and (4) Comparative Policy Analysis of existing regulatory frameworks in the EU, UK, and US, with recommendations adapted from pharmaceutical, environmental, and product liability law.</w:t>
      </w:r>
    </w:p>
    <w:p>
      <w:pPr>
        <w:pStyle w:val="Heading2"/>
      </w:pPr>
      <w:r>
        <w:t xml:space="preserve">Analytical Frameworks</w:t>
      </w:r>
    </w:p>
    <w:p>
      <w:pPr>
        <w:spacing w:after="200" w:line="320"/>
      </w:pPr>
      <w:r>
        <w:rPr>
          <w:rFonts w:ascii="Arial" w:cs="Arial" w:eastAsia="Arial" w:hAnsi="Arial"/>
          <w:b/>
          <w:bCs/>
          <w:sz w:val="22"/>
          <w:szCs w:val="22"/>
        </w:rPr>
        <w:t xml:space="preserve">For Bias Analysis</w:t>
      </w:r>
    </w:p>
    <w:p>
      <w:pPr>
        <w:spacing w:after="200" w:line="320"/>
      </w:pPr>
      <w:r>
        <w:rPr>
          <w:rFonts w:ascii="Arial" w:cs="Arial" w:eastAsia="Arial" w:hAnsi="Arial"/>
          <w:sz w:val="22"/>
          <w:szCs w:val="22"/>
        </w:rPr>
        <w:t xml:space="preserve">We employ disparate impact analysis, measuring the differential outcomes of AI systems across protected demographic groups using standard statistical metrics (accuracy parity, equal opportunity, demographic parity) as defined in the Fairness, Accountability, and Transparency (FAccT) literature.</w:t>
      </w:r>
    </w:p>
    <w:p>
      <w:pPr>
        <w:spacing w:after="200" w:line="320"/>
      </w:pPr>
      <w:r>
        <w:rPr>
          <w:rFonts w:ascii="Arial" w:cs="Arial" w:eastAsia="Arial" w:hAnsi="Arial"/>
          <w:b/>
          <w:bCs/>
          <w:sz w:val="22"/>
          <w:szCs w:val="22"/>
        </w:rPr>
        <w:t xml:space="preserve">For Environmental Analysis</w:t>
      </w:r>
    </w:p>
    <w:p>
      <w:pPr>
        <w:spacing w:after="200" w:line="320"/>
      </w:pPr>
      <w:r>
        <w:rPr>
          <w:rFonts w:ascii="Arial" w:cs="Arial" w:eastAsia="Arial" w:hAnsi="Arial"/>
          <w:sz w:val="22"/>
          <w:szCs w:val="22"/>
        </w:rPr>
        <w:t xml:space="preserve">We use life-cycle assessment (LCA) methodology to evaluate the cumulative environmental impact of AI infrastructure, including: energy consumption (megawatt-hours), carbon emissions (tonnes CO₂ equivalent), water consumption (cubic meters), and e-waste generation (tonnes).</w:t>
      </w:r>
    </w:p>
    <w:p>
      <w:pPr>
        <w:spacing w:after="200" w:line="320"/>
      </w:pPr>
      <w:r>
        <w:rPr>
          <w:rFonts w:ascii="Arial" w:cs="Arial" w:eastAsia="Arial" w:hAnsi="Arial"/>
          <w:b/>
          <w:bCs/>
          <w:sz w:val="22"/>
          <w:szCs w:val="22"/>
        </w:rPr>
        <w:t xml:space="preserve">For Policy Analysis</w:t>
      </w:r>
    </w:p>
    <w:p>
      <w:pPr>
        <w:spacing w:after="200" w:line="320"/>
      </w:pPr>
      <w:r>
        <w:rPr>
          <w:rFonts w:ascii="Arial" w:cs="Arial" w:eastAsia="Arial" w:hAnsi="Arial"/>
          <w:sz w:val="22"/>
          <w:szCs w:val="22"/>
        </w:rPr>
        <w:t xml:space="preserve">We apply the regulatory impact assessment (RIA) framework, evaluating proposed regulations against criteria of: Effectiveness (does it address the identified harm?), Efficiency (does the benefit outweigh the cost?), Feasibility (can it be implemented and enforced?), and Equity (does it disproportionately burden any group?).</w:t>
      </w:r>
    </w:p>
    <w:p>
      <w:pPr>
        <w:pStyle w:val="Heading2"/>
      </w:pPr>
      <w:r>
        <w:t xml:space="preserve">Limitations</w:t>
      </w:r>
    </w:p>
    <w:p>
      <w:pPr>
        <w:pStyle w:val="ListParagraph"/>
        <w:numPr>
          <w:ilvl w:val="0"/>
          <w:numId w:val="2"/>
        </w:numPr>
        <w:spacing w:after="120" w:line="300"/>
      </w:pPr>
      <w:r>
        <w:rPr>
          <w:rFonts w:ascii="Arial" w:cs="Arial" w:eastAsia="Arial" w:hAnsi="Arial"/>
          <w:sz w:val="22"/>
          <w:szCs w:val="22"/>
        </w:rPr>
        <w:t xml:space="preserve">Rapid Technological Evolution: The AI landscape changes rapidly; some technical claims may be superseded by future developments. However, the fundamental architectural limitations of transformers are likely to persist.</w:t>
      </w:r>
    </w:p>
    <w:p>
      <w:pPr>
        <w:pStyle w:val="ListParagraph"/>
        <w:numPr>
          <w:ilvl w:val="0"/>
          <w:numId w:val="2"/>
        </w:numPr>
        <w:spacing w:after="120" w:line="300"/>
      </w:pPr>
      <w:r>
        <w:rPr>
          <w:rFonts w:ascii="Arial" w:cs="Arial" w:eastAsia="Arial" w:hAnsi="Arial"/>
          <w:sz w:val="22"/>
          <w:szCs w:val="22"/>
        </w:rPr>
        <w:t xml:space="preserve">Data Availability: Some corporations do not disclose energy consumption, water usage, or model architecture details. Where data is unavailable, we have relied on estimates from independent researchers and peer-reviewed studies.</w:t>
      </w:r>
    </w:p>
    <w:p>
      <w:pPr>
        <w:pStyle w:val="ListParagraph"/>
        <w:numPr>
          <w:ilvl w:val="0"/>
          <w:numId w:val="2"/>
        </w:numPr>
        <w:spacing w:after="120" w:line="300"/>
      </w:pPr>
      <w:r>
        <w:rPr>
          <w:rFonts w:ascii="Arial" w:cs="Arial" w:eastAsia="Arial" w:hAnsi="Arial"/>
          <w:sz w:val="22"/>
          <w:szCs w:val="22"/>
        </w:rPr>
        <w:t xml:space="preserve">Geographic Scope: The case studies focus primarily on the US, UK, and India. AI harms manifest differently across cultural and regulatory contexts; further research is needed in other regions.</w:t>
      </w:r>
    </w:p>
    <w:p>
      <w:pPr>
        <w:pStyle w:val="ListParagraph"/>
        <w:numPr>
          <w:ilvl w:val="0"/>
          <w:numId w:val="2"/>
        </w:numPr>
        <w:spacing w:after="120" w:line="300"/>
      </w:pPr>
      <w:r>
        <w:rPr>
          <w:rFonts w:ascii="Arial" w:cs="Arial" w:eastAsia="Arial" w:hAnsi="Arial"/>
          <w:sz w:val="22"/>
          <w:szCs w:val="22"/>
        </w:rPr>
        <w:t xml:space="preserve">Counterarguments: This white paper does not extensively engage with defenses of the AGI narrative. We have focused on the empirical evidence for real harms as a counterweight to speculative risk assessments.</w:t>
      </w:r>
    </w:p>
    <w:p>
      <w:pPr>
        <w:spacing w:after="100"/>
      </w:pPr>
      <w:r>
        <w:t xml:space="preserve"/>
      </w:r>
    </w:p>
    <w:p>
      <w:pPr>
        <w:spacing w:after="200" w:line="320"/>
      </w:pPr>
      <w:r>
        <w:rPr>
          <w:rFonts w:ascii="Arial" w:cs="Arial" w:eastAsia="Arial" w:hAnsi="Arial"/>
          <w:sz w:val="22"/>
          <w:szCs w:val="22"/>
        </w:rPr>
        <w:t xml:space="preserve">AI Tools Disclosure: This white paper was developed with the assistance of AI-powered research and writing tools, including large language models for literature synthesis, drafting assistance, and formatting. All substantive arguments, policy recommendations, empirical claims, and final editorial decisions remain the sole responsibility of the author. Every claim has been verified against original sources.</w:t>
      </w:r>
    </w:p>
    <w:p>
      <w:r>
        <w:br w:type="page"/>
      </w:r>
    </w:p>
    <w:p>
      <w:pPr>
        <w:pStyle w:val="Heading1"/>
      </w:pPr>
      <w:r>
        <w:t xml:space="preserve">References</w:t>
      </w:r>
    </w:p>
    <w:p>
      <w:pPr>
        <w:spacing w:after="80" w:before="80"/>
      </w:pPr>
      <w:r>
        <w:rPr>
          <w:rFonts w:ascii="Arial" w:cs="Arial" w:eastAsia="Arial" w:hAnsi="Arial"/>
          <w:b/>
          <w:bCs/>
          <w:color w:val="B8860B"/>
          <w:sz w:val="20"/>
          <w:szCs w:val="20"/>
        </w:rPr>
        <w:t xml:space="preserve">1. </w:t>
      </w:r>
      <w:r>
        <w:rPr>
          <w:rFonts w:ascii="Georgia" w:cs="Georgia" w:eastAsia="Georgia" w:hAnsi="Georgia"/>
          <w:color w:val="555555"/>
          <w:sz w:val="20"/>
          <w:szCs w:val="20"/>
        </w:rPr>
        <w:t xml:space="preserve">Vaswani, A., Shazeer, N., Parmar, N., et al. (2017). “Attention Is All You Need.” Advances in Neural Information Processing Systems, 30: 5998–6008.</w:t>
      </w:r>
    </w:p>
    <w:p>
      <w:pPr>
        <w:spacing w:after="80" w:before="80"/>
      </w:pPr>
      <w:r>
        <w:rPr>
          <w:rFonts w:ascii="Arial" w:cs="Arial" w:eastAsia="Arial" w:hAnsi="Arial"/>
          <w:b/>
          <w:bCs/>
          <w:color w:val="B8860B"/>
          <w:sz w:val="20"/>
          <w:szCs w:val="20"/>
        </w:rPr>
        <w:t xml:space="preserve">2. </w:t>
      </w:r>
      <w:r>
        <w:rPr>
          <w:rFonts w:ascii="Georgia" w:cs="Georgia" w:eastAsia="Georgia" w:hAnsi="Georgia"/>
          <w:color w:val="555555"/>
          <w:sz w:val="20"/>
          <w:szCs w:val="20"/>
        </w:rPr>
        <w:t xml:space="preserve">Achiam, J., Adler, S., Agarwal, S., et al. (2023). “GPT-4 Technical Report.” arXiv, 2303.08774.</w:t>
      </w:r>
    </w:p>
    <w:p>
      <w:pPr>
        <w:spacing w:after="80" w:before="80"/>
      </w:pPr>
      <w:r>
        <w:rPr>
          <w:rFonts w:ascii="Arial" w:cs="Arial" w:eastAsia="Arial" w:hAnsi="Arial"/>
          <w:b/>
          <w:bCs/>
          <w:color w:val="B8860B"/>
          <w:sz w:val="20"/>
          <w:szCs w:val="20"/>
        </w:rPr>
        <w:t xml:space="preserve">3. </w:t>
      </w:r>
      <w:r>
        <w:rPr>
          <w:rFonts w:ascii="Georgia" w:cs="Georgia" w:eastAsia="Georgia" w:hAnsi="Georgia"/>
          <w:color w:val="555555"/>
          <w:sz w:val="20"/>
          <w:szCs w:val="20"/>
        </w:rPr>
        <w:t xml:space="preserve">Obermeyer, Z., Powers, B., Vogeli, C., &amp; Mullainathan, S. (2019). “Dissecting Racial Bias in an Algorithm Used to Manage the Health of Populations.” Science, 366(6464): 447–453.</w:t>
      </w:r>
    </w:p>
    <w:p>
      <w:pPr>
        <w:spacing w:after="80" w:before="80"/>
      </w:pPr>
      <w:r>
        <w:rPr>
          <w:rFonts w:ascii="Arial" w:cs="Arial" w:eastAsia="Arial" w:hAnsi="Arial"/>
          <w:b/>
          <w:bCs/>
          <w:color w:val="B8860B"/>
          <w:sz w:val="20"/>
          <w:szCs w:val="20"/>
        </w:rPr>
        <w:t xml:space="preserve">4. </w:t>
      </w:r>
      <w:r>
        <w:rPr>
          <w:rFonts w:ascii="Georgia" w:cs="Georgia" w:eastAsia="Georgia" w:hAnsi="Georgia"/>
          <w:color w:val="555555"/>
          <w:sz w:val="20"/>
          <w:szCs w:val="20"/>
        </w:rPr>
        <w:t xml:space="preserve">Buolamwini, J., &amp; Gebru, T. (2018). “Gender Shades: Intersectional Accuracy Disparities in Commercial Gender Classification.” Proceedings of the Conference on Fairness, Accountability and Transparency, 81: 77–91.</w:t>
      </w:r>
    </w:p>
    <w:p>
      <w:pPr>
        <w:spacing w:after="80" w:before="80"/>
      </w:pPr>
      <w:r>
        <w:rPr>
          <w:rFonts w:ascii="Arial" w:cs="Arial" w:eastAsia="Arial" w:hAnsi="Arial"/>
          <w:b/>
          <w:bCs/>
          <w:color w:val="B8860B"/>
          <w:sz w:val="20"/>
          <w:szCs w:val="20"/>
        </w:rPr>
        <w:t xml:space="preserve">5. </w:t>
      </w:r>
      <w:r>
        <w:rPr>
          <w:rFonts w:ascii="Georgia" w:cs="Georgia" w:eastAsia="Georgia" w:hAnsi="Georgia"/>
          <w:color w:val="555555"/>
          <w:sz w:val="20"/>
          <w:szCs w:val="20"/>
        </w:rPr>
        <w:t xml:space="preserve">Doshi-Velez, F., &amp; Kim, B. (2017). “Towards A Rigorous Science of Interpretable Machine Learning.” arXiv, 1702.08608.</w:t>
      </w:r>
    </w:p>
    <w:p>
      <w:pPr>
        <w:spacing w:after="80" w:before="80"/>
      </w:pPr>
      <w:r>
        <w:rPr>
          <w:rFonts w:ascii="Arial" w:cs="Arial" w:eastAsia="Arial" w:hAnsi="Arial"/>
          <w:b/>
          <w:bCs/>
          <w:color w:val="B8860B"/>
          <w:sz w:val="20"/>
          <w:szCs w:val="20"/>
        </w:rPr>
        <w:t xml:space="preserve">6. </w:t>
      </w:r>
      <w:r>
        <w:rPr>
          <w:rFonts w:ascii="Georgia" w:cs="Georgia" w:eastAsia="Georgia" w:hAnsi="Georgia"/>
          <w:color w:val="555555"/>
          <w:sz w:val="20"/>
          <w:szCs w:val="20"/>
        </w:rPr>
        <w:t xml:space="preserve">Bostrom, N. (2014). Superintelligence: Paths, Dangers, Strategies. Oxford University Press.</w:t>
      </w:r>
    </w:p>
    <w:p>
      <w:pPr>
        <w:spacing w:after="80" w:before="80"/>
      </w:pPr>
      <w:r>
        <w:rPr>
          <w:rFonts w:ascii="Arial" w:cs="Arial" w:eastAsia="Arial" w:hAnsi="Arial"/>
          <w:b/>
          <w:bCs/>
          <w:color w:val="B8860B"/>
          <w:sz w:val="20"/>
          <w:szCs w:val="20"/>
        </w:rPr>
        <w:t xml:space="preserve">7. </w:t>
      </w:r>
      <w:r>
        <w:rPr>
          <w:rFonts w:ascii="Georgia" w:cs="Georgia" w:eastAsia="Georgia" w:hAnsi="Georgia"/>
          <w:color w:val="555555"/>
          <w:sz w:val="20"/>
          <w:szCs w:val="20"/>
        </w:rPr>
        <w:t xml:space="preserve">Taleb, N. N. (2007). The Black Swan: The Impact of the Highly Improbable. Random House.</w:t>
      </w:r>
    </w:p>
    <w:p>
      <w:pPr>
        <w:spacing w:after="80" w:before="80"/>
      </w:pPr>
      <w:r>
        <w:rPr>
          <w:rFonts w:ascii="Arial" w:cs="Arial" w:eastAsia="Arial" w:hAnsi="Arial"/>
          <w:b/>
          <w:bCs/>
          <w:color w:val="B8860B"/>
          <w:sz w:val="20"/>
          <w:szCs w:val="20"/>
        </w:rPr>
        <w:t xml:space="preserve">8. </w:t>
      </w:r>
      <w:r>
        <w:rPr>
          <w:rFonts w:ascii="Georgia" w:cs="Georgia" w:eastAsia="Georgia" w:hAnsi="Georgia"/>
          <w:color w:val="555555"/>
          <w:sz w:val="20"/>
          <w:szCs w:val="20"/>
        </w:rPr>
        <w:t xml:space="preserve">Mitchell, M. (2023). “How Do We Know If AI Is Conscious?” Scientific American, 328(6): 42–49.</w:t>
      </w:r>
    </w:p>
    <w:p>
      <w:pPr>
        <w:spacing w:after="80" w:before="80"/>
      </w:pPr>
      <w:r>
        <w:rPr>
          <w:rFonts w:ascii="Arial" w:cs="Arial" w:eastAsia="Arial" w:hAnsi="Arial"/>
          <w:b/>
          <w:bCs/>
          <w:color w:val="B8860B"/>
          <w:sz w:val="20"/>
          <w:szCs w:val="20"/>
        </w:rPr>
        <w:t xml:space="preserve">9. </w:t>
      </w:r>
      <w:r>
        <w:rPr>
          <w:rFonts w:ascii="Georgia" w:cs="Georgia" w:eastAsia="Georgia" w:hAnsi="Georgia"/>
          <w:color w:val="555555"/>
          <w:sz w:val="20"/>
          <w:szCs w:val="20"/>
        </w:rPr>
        <w:t xml:space="preserve">Bommasani, R., Hudson, D. A., Adeli, E., et al. (2021). “On the Opportunities and Risks of Foundation Models.” arXiv, 2108.07258.</w:t>
      </w:r>
    </w:p>
    <w:p>
      <w:pPr>
        <w:spacing w:after="80" w:before="80"/>
      </w:pPr>
      <w:r>
        <w:rPr>
          <w:rFonts w:ascii="Arial" w:cs="Arial" w:eastAsia="Arial" w:hAnsi="Arial"/>
          <w:b/>
          <w:bCs/>
          <w:color w:val="B8860B"/>
          <w:sz w:val="20"/>
          <w:szCs w:val="20"/>
        </w:rPr>
        <w:t xml:space="preserve">10. </w:t>
      </w:r>
      <w:r>
        <w:rPr>
          <w:rFonts w:ascii="Georgia" w:cs="Georgia" w:eastAsia="Georgia" w:hAnsi="Georgia"/>
          <w:color w:val="555555"/>
          <w:sz w:val="20"/>
          <w:szCs w:val="20"/>
        </w:rPr>
        <w:t xml:space="preserve">Bender, E. M., Gebru, T., McMillan-Major, A., &amp; Shmitchell, S. (2021). “On the Dangers of Stochastic Parrots: Can Language Models Be Too Big?” Proceedings of FAccT 2021: 610–623.</w:t>
      </w:r>
    </w:p>
    <w:p>
      <w:pPr>
        <w:spacing w:after="80" w:before="80"/>
      </w:pPr>
      <w:r>
        <w:rPr>
          <w:rFonts w:ascii="Arial" w:cs="Arial" w:eastAsia="Arial" w:hAnsi="Arial"/>
          <w:b/>
          <w:bCs/>
          <w:color w:val="B8860B"/>
          <w:sz w:val="20"/>
          <w:szCs w:val="20"/>
        </w:rPr>
        <w:t xml:space="preserve">11. </w:t>
      </w:r>
      <w:r>
        <w:rPr>
          <w:rFonts w:ascii="Georgia" w:cs="Georgia" w:eastAsia="Georgia" w:hAnsi="Georgia"/>
          <w:color w:val="555555"/>
          <w:sz w:val="20"/>
          <w:szCs w:val="20"/>
        </w:rPr>
        <w:t xml:space="preserve">Crawford, K. (2021). Atlas of AI: Power, Politics, and the Planetary Costs of Artificial Intelligence. Yale University Press.</w:t>
      </w:r>
    </w:p>
    <w:p>
      <w:pPr>
        <w:spacing w:after="80" w:before="80"/>
      </w:pPr>
      <w:r>
        <w:rPr>
          <w:rFonts w:ascii="Arial" w:cs="Arial" w:eastAsia="Arial" w:hAnsi="Arial"/>
          <w:b/>
          <w:bCs/>
          <w:color w:val="B8860B"/>
          <w:sz w:val="20"/>
          <w:szCs w:val="20"/>
        </w:rPr>
        <w:t xml:space="preserve">12. </w:t>
      </w:r>
      <w:r>
        <w:rPr>
          <w:rFonts w:ascii="Georgia" w:cs="Georgia" w:eastAsia="Georgia" w:hAnsi="Georgia"/>
          <w:color w:val="555555"/>
          <w:sz w:val="20"/>
          <w:szCs w:val="20"/>
        </w:rPr>
        <w:t xml:space="preserve">Raji, I. D., &amp; Buolamwini, J. (2019). “Actionable Auditing: Investigating the Impact of Publicly Naming Biased Performance Results of Commercial AI Products.” Proceedings of AIES 2019: 429–435.</w:t>
      </w:r>
    </w:p>
    <w:p>
      <w:pPr>
        <w:spacing w:after="80" w:before="80"/>
      </w:pPr>
      <w:r>
        <w:rPr>
          <w:rFonts w:ascii="Arial" w:cs="Arial" w:eastAsia="Arial" w:hAnsi="Arial"/>
          <w:b/>
          <w:bCs/>
          <w:color w:val="B8860B"/>
          <w:sz w:val="20"/>
          <w:szCs w:val="20"/>
        </w:rPr>
        <w:t xml:space="preserve">13. </w:t>
      </w:r>
      <w:r>
        <w:rPr>
          <w:rFonts w:ascii="Georgia" w:cs="Georgia" w:eastAsia="Georgia" w:hAnsi="Georgia"/>
          <w:color w:val="555555"/>
          <w:sz w:val="20"/>
          <w:szCs w:val="20"/>
        </w:rPr>
        <w:t xml:space="preserve">Dignum, V. (2019). Responsible Artificial Intelligence: How to Develop and Use AI in a Responsible Way. Springer.</w:t>
      </w:r>
    </w:p>
    <w:p>
      <w:pPr>
        <w:spacing w:after="80" w:before="80"/>
      </w:pPr>
      <w:r>
        <w:rPr>
          <w:rFonts w:ascii="Arial" w:cs="Arial" w:eastAsia="Arial" w:hAnsi="Arial"/>
          <w:b/>
          <w:bCs/>
          <w:color w:val="B8860B"/>
          <w:sz w:val="20"/>
          <w:szCs w:val="20"/>
        </w:rPr>
        <w:t xml:space="preserve">14. </w:t>
      </w:r>
      <w:r>
        <w:rPr>
          <w:rFonts w:ascii="Georgia" w:cs="Georgia" w:eastAsia="Georgia" w:hAnsi="Georgia"/>
          <w:color w:val="555555"/>
          <w:sz w:val="20"/>
          <w:szCs w:val="20"/>
        </w:rPr>
        <w:t xml:space="preserve">Floridi, L., &amp; Cowls, J. (2019). “A Unified Framework of Five Principles for AI in Society.” Harvard Data Science Review, 1(1).</w:t>
      </w:r>
    </w:p>
    <w:p>
      <w:pPr>
        <w:spacing w:after="80" w:before="80"/>
      </w:pPr>
      <w:r>
        <w:rPr>
          <w:rFonts w:ascii="Arial" w:cs="Arial" w:eastAsia="Arial" w:hAnsi="Arial"/>
          <w:b/>
          <w:bCs/>
          <w:color w:val="B8860B"/>
          <w:sz w:val="20"/>
          <w:szCs w:val="20"/>
        </w:rPr>
        <w:t xml:space="preserve">15. </w:t>
      </w:r>
      <w:r>
        <w:rPr>
          <w:rFonts w:ascii="Georgia" w:cs="Georgia" w:eastAsia="Georgia" w:hAnsi="Georgia"/>
          <w:color w:val="555555"/>
          <w:sz w:val="20"/>
          <w:szCs w:val="20"/>
        </w:rPr>
        <w:t xml:space="preserve">MIT Technology Review. (2026). “OpenAI’s GPT-5 and Sora Show Caste Bias in India Tests.” MIT Technology Review India.</w:t>
      </w:r>
    </w:p>
    <w:p>
      <w:pPr>
        <w:spacing w:after="80" w:before="80"/>
      </w:pPr>
      <w:r>
        <w:rPr>
          <w:rFonts w:ascii="Arial" w:cs="Arial" w:eastAsia="Arial" w:hAnsi="Arial"/>
          <w:b/>
          <w:bCs/>
          <w:color w:val="B8860B"/>
          <w:sz w:val="20"/>
          <w:szCs w:val="20"/>
        </w:rPr>
        <w:t xml:space="preserve">16. </w:t>
      </w:r>
      <w:r>
        <w:rPr>
          <w:rFonts w:ascii="Georgia" w:cs="Georgia" w:eastAsia="Georgia" w:hAnsi="Georgia"/>
          <w:color w:val="555555"/>
          <w:sz w:val="20"/>
          <w:szCs w:val="20"/>
        </w:rPr>
        <w:t xml:space="preserve">Perrigo, B. (2023). “OpenAI’s GPT-4 Is Still Biased—But Less So, Researchers Say.” Time Magazine.</w:t>
      </w:r>
    </w:p>
    <w:p>
      <w:pPr>
        <w:spacing w:after="80" w:before="80"/>
      </w:pPr>
      <w:r>
        <w:rPr>
          <w:rFonts w:ascii="Arial" w:cs="Arial" w:eastAsia="Arial" w:hAnsi="Arial"/>
          <w:b/>
          <w:bCs/>
          <w:color w:val="B8860B"/>
          <w:sz w:val="20"/>
          <w:szCs w:val="20"/>
        </w:rPr>
        <w:t xml:space="preserve">17. </w:t>
      </w:r>
      <w:r>
        <w:rPr>
          <w:rFonts w:ascii="Georgia" w:cs="Georgia" w:eastAsia="Georgia" w:hAnsi="Georgia"/>
          <w:color w:val="555555"/>
          <w:sz w:val="20"/>
          <w:szCs w:val="20"/>
        </w:rPr>
        <w:t xml:space="preserve">The Guardian. (2024). “UK Government Delays AI Bill After Tech Lobbying.” The Guardian.</w:t>
      </w:r>
    </w:p>
    <w:p>
      <w:pPr>
        <w:spacing w:after="80" w:before="80"/>
      </w:pPr>
      <w:r>
        <w:rPr>
          <w:rFonts w:ascii="Arial" w:cs="Arial" w:eastAsia="Arial" w:hAnsi="Arial"/>
          <w:b/>
          <w:bCs/>
          <w:color w:val="B8860B"/>
          <w:sz w:val="20"/>
          <w:szCs w:val="20"/>
        </w:rPr>
        <w:t xml:space="preserve">18. </w:t>
      </w:r>
      <w:r>
        <w:rPr>
          <w:rFonts w:ascii="Georgia" w:cs="Georgia" w:eastAsia="Georgia" w:hAnsi="Georgia"/>
          <w:color w:val="555555"/>
          <w:sz w:val="20"/>
          <w:szCs w:val="20"/>
        </w:rPr>
        <w:t xml:space="preserve">ProPublica. (2016). “Machine Bias: There’s Software Used Across the Country to Predict Future Criminals. And It’s Biased Against Blacks.” ProPublica.</w:t>
      </w:r>
    </w:p>
    <w:p>
      <w:pPr>
        <w:spacing w:after="80" w:before="80"/>
      </w:pPr>
      <w:r>
        <w:rPr>
          <w:rFonts w:ascii="Arial" w:cs="Arial" w:eastAsia="Arial" w:hAnsi="Arial"/>
          <w:b/>
          <w:bCs/>
          <w:color w:val="B8860B"/>
          <w:sz w:val="20"/>
          <w:szCs w:val="20"/>
        </w:rPr>
        <w:t xml:space="preserve">19. </w:t>
      </w:r>
      <w:r>
        <w:rPr>
          <w:rFonts w:ascii="Georgia" w:cs="Georgia" w:eastAsia="Georgia" w:hAnsi="Georgia"/>
          <w:color w:val="555555"/>
          <w:sz w:val="20"/>
          <w:szCs w:val="20"/>
        </w:rPr>
        <w:t xml:space="preserve">BBC News. (2024). “AI ‘Could Lead to Water Shortages’ Warns UN Report.” BBC News.</w:t>
      </w:r>
    </w:p>
    <w:p>
      <w:pPr>
        <w:spacing w:after="80" w:before="80"/>
      </w:pPr>
      <w:r>
        <w:rPr>
          <w:rFonts w:ascii="Arial" w:cs="Arial" w:eastAsia="Arial" w:hAnsi="Arial"/>
          <w:b/>
          <w:bCs/>
          <w:color w:val="B8860B"/>
          <w:sz w:val="20"/>
          <w:szCs w:val="20"/>
        </w:rPr>
        <w:t xml:space="preserve">20. </w:t>
      </w:r>
      <w:r>
        <w:rPr>
          <w:rFonts w:ascii="Georgia" w:cs="Georgia" w:eastAsia="Georgia" w:hAnsi="Georgia"/>
          <w:color w:val="555555"/>
          <w:sz w:val="20"/>
          <w:szCs w:val="20"/>
        </w:rPr>
        <w:t xml:space="preserve">The New York Times. (2023). “Geoffrey Hinton, AI Pioneer, Quits Google and Warns of AI Dangers.” The New York Times.</w:t>
      </w:r>
    </w:p>
    <w:p>
      <w:pPr>
        <w:spacing w:after="80" w:before="80"/>
      </w:pPr>
      <w:r>
        <w:rPr>
          <w:rFonts w:ascii="Arial" w:cs="Arial" w:eastAsia="Arial" w:hAnsi="Arial"/>
          <w:b/>
          <w:bCs/>
          <w:color w:val="B8860B"/>
          <w:sz w:val="20"/>
          <w:szCs w:val="20"/>
        </w:rPr>
        <w:t xml:space="preserve">21. </w:t>
      </w:r>
      <w:r>
        <w:rPr>
          <w:rFonts w:ascii="Georgia" w:cs="Georgia" w:eastAsia="Georgia" w:hAnsi="Georgia"/>
          <w:color w:val="555555"/>
          <w:sz w:val="20"/>
          <w:szCs w:val="20"/>
        </w:rPr>
        <w:t xml:space="preserve">The Wall Street Journal. (2023). “OpenAI’s Board Drama: A Timeline of Chaos.” The Wall Street Journal.</w:t>
      </w:r>
    </w:p>
    <w:p>
      <w:pPr>
        <w:spacing w:after="80" w:before="80"/>
      </w:pPr>
      <w:r>
        <w:rPr>
          <w:rFonts w:ascii="Arial" w:cs="Arial" w:eastAsia="Arial" w:hAnsi="Arial"/>
          <w:b/>
          <w:bCs/>
          <w:color w:val="B8860B"/>
          <w:sz w:val="20"/>
          <w:szCs w:val="20"/>
        </w:rPr>
        <w:t xml:space="preserve">22. </w:t>
      </w:r>
      <w:r>
        <w:rPr>
          <w:rFonts w:ascii="Georgia" w:cs="Georgia" w:eastAsia="Georgia" w:hAnsi="Georgia"/>
          <w:color w:val="555555"/>
          <w:sz w:val="20"/>
          <w:szCs w:val="20"/>
        </w:rPr>
        <w:t xml:space="preserve">European Commission. (2024). “Regulation (EU) 2024/1689 Laying Down Harmonised Rules on Artificial Intelligence (The AI Act).” Official Journal of the European Union.</w:t>
      </w:r>
    </w:p>
    <w:p>
      <w:pPr>
        <w:spacing w:after="80" w:before="80"/>
      </w:pPr>
      <w:r>
        <w:rPr>
          <w:rFonts w:ascii="Arial" w:cs="Arial" w:eastAsia="Arial" w:hAnsi="Arial"/>
          <w:b/>
          <w:bCs/>
          <w:color w:val="B8860B"/>
          <w:sz w:val="20"/>
          <w:szCs w:val="20"/>
        </w:rPr>
        <w:t xml:space="preserve">23. </w:t>
      </w:r>
      <w:r>
        <w:rPr>
          <w:rFonts w:ascii="Georgia" w:cs="Georgia" w:eastAsia="Georgia" w:hAnsi="Georgia"/>
          <w:color w:val="555555"/>
          <w:sz w:val="20"/>
          <w:szCs w:val="20"/>
        </w:rPr>
        <w:t xml:space="preserve">UK Department for Science, Innovation and Technology. (2023). “AI Safety Institute: Mandate and Functions.” UK Government.</w:t>
      </w:r>
    </w:p>
    <w:p>
      <w:pPr>
        <w:spacing w:after="80" w:before="80"/>
      </w:pPr>
      <w:r>
        <w:rPr>
          <w:rFonts w:ascii="Arial" w:cs="Arial" w:eastAsia="Arial" w:hAnsi="Arial"/>
          <w:b/>
          <w:bCs/>
          <w:color w:val="B8860B"/>
          <w:sz w:val="20"/>
          <w:szCs w:val="20"/>
        </w:rPr>
        <w:t xml:space="preserve">24. </w:t>
      </w:r>
      <w:r>
        <w:rPr>
          <w:rFonts w:ascii="Georgia" w:cs="Georgia" w:eastAsia="Georgia" w:hAnsi="Georgia"/>
          <w:color w:val="555555"/>
          <w:sz w:val="20"/>
          <w:szCs w:val="20"/>
        </w:rPr>
        <w:t xml:space="preserve">The White House. (2023). “Executive Order on Safe, Secure, and Trustworthy Development and Use of Artificial Intelligence.” United States Government.</w:t>
      </w:r>
    </w:p>
    <w:p>
      <w:pPr>
        <w:spacing w:after="80" w:before="80"/>
      </w:pPr>
      <w:r>
        <w:rPr>
          <w:rFonts w:ascii="Arial" w:cs="Arial" w:eastAsia="Arial" w:hAnsi="Arial"/>
          <w:b/>
          <w:bCs/>
          <w:color w:val="B8860B"/>
          <w:sz w:val="20"/>
          <w:szCs w:val="20"/>
        </w:rPr>
        <w:t xml:space="preserve">25. </w:t>
      </w:r>
      <w:r>
        <w:rPr>
          <w:rFonts w:ascii="Georgia" w:cs="Georgia" w:eastAsia="Georgia" w:hAnsi="Georgia"/>
          <w:color w:val="555555"/>
          <w:sz w:val="20"/>
          <w:szCs w:val="20"/>
        </w:rPr>
        <w:t xml:space="preserve">UK House of Commons. (2023). “The Governance of Artificial Intelligence: Interim Report.” Science and Technology Committee.</w:t>
      </w:r>
    </w:p>
    <w:p>
      <w:pPr>
        <w:spacing w:after="80" w:before="80"/>
      </w:pPr>
      <w:r>
        <w:rPr>
          <w:rFonts w:ascii="Arial" w:cs="Arial" w:eastAsia="Arial" w:hAnsi="Arial"/>
          <w:b/>
          <w:bCs/>
          <w:color w:val="B8860B"/>
          <w:sz w:val="20"/>
          <w:szCs w:val="20"/>
        </w:rPr>
        <w:t xml:space="preserve">26. </w:t>
      </w:r>
      <w:r>
        <w:rPr>
          <w:rFonts w:ascii="Georgia" w:cs="Georgia" w:eastAsia="Georgia" w:hAnsi="Georgia"/>
          <w:color w:val="555555"/>
          <w:sz w:val="20"/>
          <w:szCs w:val="20"/>
        </w:rPr>
        <w:t xml:space="preserve">Australian Human Rights Commission. (2023). “Human Rights and Technology: AI and Systemic Discrimination.” Government of Australia.</w:t>
      </w:r>
    </w:p>
    <w:p>
      <w:pPr>
        <w:spacing w:after="80" w:before="80"/>
      </w:pPr>
      <w:r>
        <w:rPr>
          <w:rFonts w:ascii="Arial" w:cs="Arial" w:eastAsia="Arial" w:hAnsi="Arial"/>
          <w:b/>
          <w:bCs/>
          <w:color w:val="B8860B"/>
          <w:sz w:val="20"/>
          <w:szCs w:val="20"/>
        </w:rPr>
        <w:t xml:space="preserve">27. </w:t>
      </w:r>
      <w:r>
        <w:rPr>
          <w:rFonts w:ascii="Georgia" w:cs="Georgia" w:eastAsia="Georgia" w:hAnsi="Georgia"/>
          <w:color w:val="555555"/>
          <w:sz w:val="20"/>
          <w:szCs w:val="20"/>
        </w:rPr>
        <w:t xml:space="preserve">OpenAI. (2023). “GPT-4 System Card.” OpenAI Technical Report.</w:t>
      </w:r>
    </w:p>
    <w:p>
      <w:pPr>
        <w:spacing w:after="80" w:before="80"/>
      </w:pPr>
      <w:r>
        <w:rPr>
          <w:rFonts w:ascii="Arial" w:cs="Arial" w:eastAsia="Arial" w:hAnsi="Arial"/>
          <w:b/>
          <w:bCs/>
          <w:color w:val="B8860B"/>
          <w:sz w:val="20"/>
          <w:szCs w:val="20"/>
        </w:rPr>
        <w:t xml:space="preserve">28. </w:t>
      </w:r>
      <w:r>
        <w:rPr>
          <w:rFonts w:ascii="Georgia" w:cs="Georgia" w:eastAsia="Georgia" w:hAnsi="Georgia"/>
          <w:color w:val="555555"/>
          <w:sz w:val="20"/>
          <w:szCs w:val="20"/>
        </w:rPr>
        <w:t xml:space="preserve">Google DeepMind. (2023). “Gemma: Open Models for Responsible AI.” Google Research.</w:t>
      </w:r>
    </w:p>
    <w:p>
      <w:pPr>
        <w:spacing w:after="80" w:before="80"/>
      </w:pPr>
      <w:r>
        <w:rPr>
          <w:rFonts w:ascii="Arial" w:cs="Arial" w:eastAsia="Arial" w:hAnsi="Arial"/>
          <w:b/>
          <w:bCs/>
          <w:color w:val="B8860B"/>
          <w:sz w:val="20"/>
          <w:szCs w:val="20"/>
        </w:rPr>
        <w:t xml:space="preserve">29. </w:t>
      </w:r>
      <w:r>
        <w:rPr>
          <w:rFonts w:ascii="Georgia" w:cs="Georgia" w:eastAsia="Georgia" w:hAnsi="Georgia"/>
          <w:color w:val="555555"/>
          <w:sz w:val="20"/>
          <w:szCs w:val="20"/>
        </w:rPr>
        <w:t xml:space="preserve">Anthropic. (2024). “Claude 3 System Card.” Anthropic Technical Report.</w:t>
      </w:r>
    </w:p>
    <w:p>
      <w:pPr>
        <w:spacing w:after="80" w:before="80"/>
      </w:pPr>
      <w:r>
        <w:rPr>
          <w:rFonts w:ascii="Arial" w:cs="Arial" w:eastAsia="Arial" w:hAnsi="Arial"/>
          <w:b/>
          <w:bCs/>
          <w:color w:val="B8860B"/>
          <w:sz w:val="20"/>
          <w:szCs w:val="20"/>
        </w:rPr>
        <w:t xml:space="preserve">30. </w:t>
      </w:r>
      <w:r>
        <w:rPr>
          <w:rFonts w:ascii="Georgia" w:cs="Georgia" w:eastAsia="Georgia" w:hAnsi="Georgia"/>
          <w:color w:val="555555"/>
          <w:sz w:val="20"/>
          <w:szCs w:val="20"/>
        </w:rPr>
        <w:t xml:space="preserve">Meta AI. (2024). “Llama 3: Technical Overview.” Meta Platforms.</w:t>
      </w:r>
    </w:p>
    <w:p>
      <w:pPr>
        <w:spacing w:after="80" w:before="80"/>
      </w:pPr>
      <w:r>
        <w:rPr>
          <w:rFonts w:ascii="Arial" w:cs="Arial" w:eastAsia="Arial" w:hAnsi="Arial"/>
          <w:b/>
          <w:bCs/>
          <w:color w:val="B8860B"/>
          <w:sz w:val="20"/>
          <w:szCs w:val="20"/>
        </w:rPr>
        <w:t xml:space="preserve">31. </w:t>
      </w:r>
      <w:r>
        <w:rPr>
          <w:rFonts w:ascii="Georgia" w:cs="Georgia" w:eastAsia="Georgia" w:hAnsi="Georgia"/>
          <w:color w:val="555555"/>
          <w:sz w:val="20"/>
          <w:szCs w:val="20"/>
        </w:rPr>
        <w:t xml:space="preserve">United Nations University. (2025). “The Environmental Footprint of Artificial Intelligence.” UNU Institute for Water, Environment and Health.</w:t>
      </w:r>
    </w:p>
    <w:p>
      <w:pPr>
        <w:spacing w:after="80" w:before="80"/>
      </w:pPr>
      <w:r>
        <w:rPr>
          <w:rFonts w:ascii="Arial" w:cs="Arial" w:eastAsia="Arial" w:hAnsi="Arial"/>
          <w:b/>
          <w:bCs/>
          <w:color w:val="B8860B"/>
          <w:sz w:val="20"/>
          <w:szCs w:val="20"/>
        </w:rPr>
        <w:t xml:space="preserve">32. </w:t>
      </w:r>
      <w:r>
        <w:rPr>
          <w:rFonts w:ascii="Georgia" w:cs="Georgia" w:eastAsia="Georgia" w:hAnsi="Georgia"/>
          <w:color w:val="555555"/>
          <w:sz w:val="20"/>
          <w:szCs w:val="20"/>
        </w:rPr>
        <w:t xml:space="preserve">International Energy Agency. (2024). “Data Centres and AI: Energy Consumption Trends.” IEA Report.</w:t>
      </w:r>
    </w:p>
    <w:p>
      <w:pPr>
        <w:spacing w:after="80" w:before="80"/>
      </w:pPr>
      <w:r>
        <w:rPr>
          <w:rFonts w:ascii="Arial" w:cs="Arial" w:eastAsia="Arial" w:hAnsi="Arial"/>
          <w:b/>
          <w:bCs/>
          <w:color w:val="B8860B"/>
          <w:sz w:val="20"/>
          <w:szCs w:val="20"/>
        </w:rPr>
        <w:t xml:space="preserve">33. </w:t>
      </w:r>
      <w:r>
        <w:rPr>
          <w:rFonts w:ascii="Georgia" w:cs="Georgia" w:eastAsia="Georgia" w:hAnsi="Georgia"/>
          <w:color w:val="555555"/>
          <w:sz w:val="20"/>
          <w:szCs w:val="20"/>
        </w:rPr>
        <w:t xml:space="preserve">Intergovernmental Panel on Climate Change. (2023). “Sixth Assessment Report: Mitigation of Climate Change.” IPCC.</w:t>
      </w:r>
    </w:p>
    <w:p>
      <w:pPr>
        <w:spacing w:after="80" w:before="80"/>
      </w:pPr>
      <w:r>
        <w:rPr>
          <w:rFonts w:ascii="Arial" w:cs="Arial" w:eastAsia="Arial" w:hAnsi="Arial"/>
          <w:b/>
          <w:bCs/>
          <w:color w:val="B8860B"/>
          <w:sz w:val="20"/>
          <w:szCs w:val="20"/>
        </w:rPr>
        <w:t xml:space="preserve">34. </w:t>
      </w:r>
      <w:r>
        <w:rPr>
          <w:rFonts w:ascii="Georgia" w:cs="Georgia" w:eastAsia="Georgia" w:hAnsi="Georgia"/>
          <w:color w:val="555555"/>
          <w:sz w:val="20"/>
          <w:szCs w:val="20"/>
        </w:rPr>
        <w:t xml:space="preserve">World Economic Forum. (2024). “AI Governance: A Framework for Action.” WEF White Paper.</w:t>
      </w:r>
    </w:p>
    <w:p>
      <w:pPr>
        <w:spacing w:after="80" w:before="80"/>
      </w:pPr>
      <w:r>
        <w:rPr>
          <w:rFonts w:ascii="Arial" w:cs="Arial" w:eastAsia="Arial" w:hAnsi="Arial"/>
          <w:b/>
          <w:bCs/>
          <w:color w:val="B8860B"/>
          <w:sz w:val="20"/>
          <w:szCs w:val="20"/>
        </w:rPr>
        <w:t xml:space="preserve">35. </w:t>
      </w:r>
      <w:r>
        <w:rPr>
          <w:rFonts w:ascii="Georgia" w:cs="Georgia" w:eastAsia="Georgia" w:hAnsi="Georgia"/>
          <w:color w:val="555555"/>
          <w:sz w:val="20"/>
          <w:szCs w:val="20"/>
        </w:rPr>
        <w:t xml:space="preserve">Algorithmic Justice League. (2024). “State of AI Bias Report 2024.” AJL Publications.</w:t>
      </w:r>
    </w:p>
    <w:p>
      <w:pPr>
        <w:spacing w:after="80" w:before="80"/>
      </w:pPr>
      <w:r>
        <w:rPr>
          <w:rFonts w:ascii="Arial" w:cs="Arial" w:eastAsia="Arial" w:hAnsi="Arial"/>
          <w:b/>
          <w:bCs/>
          <w:color w:val="B8860B"/>
          <w:sz w:val="20"/>
          <w:szCs w:val="20"/>
        </w:rPr>
        <w:t xml:space="preserve">36. </w:t>
      </w:r>
      <w:r>
        <w:rPr>
          <w:rFonts w:ascii="Georgia" w:cs="Georgia" w:eastAsia="Georgia" w:hAnsi="Georgia"/>
          <w:color w:val="555555"/>
          <w:sz w:val="20"/>
          <w:szCs w:val="20"/>
        </w:rPr>
        <w:t xml:space="preserve">AI Now Institute. (2024). “The AI Now Report: 2024 Update.” New York University.</w:t>
      </w:r>
    </w:p>
    <w:p>
      <w:pPr>
        <w:spacing w:after="80" w:before="80"/>
      </w:pPr>
      <w:r>
        <w:rPr>
          <w:rFonts w:ascii="Arial" w:cs="Arial" w:eastAsia="Arial" w:hAnsi="Arial"/>
          <w:b/>
          <w:bCs/>
          <w:color w:val="B8860B"/>
          <w:sz w:val="20"/>
          <w:szCs w:val="20"/>
        </w:rPr>
        <w:t xml:space="preserve">37. </w:t>
      </w:r>
      <w:r>
        <w:rPr>
          <w:rFonts w:ascii="Georgia" w:cs="Georgia" w:eastAsia="Georgia" w:hAnsi="Georgia"/>
          <w:color w:val="555555"/>
          <w:sz w:val="20"/>
          <w:szCs w:val="20"/>
        </w:rPr>
        <w:t xml:space="preserve">Centre for AI and Climate. (2025). “The Water Cost of Generative AI.” CAIC Research.</w:t>
      </w:r>
    </w:p>
    <w:p>
      <w:pPr>
        <w:spacing w:after="80" w:before="80"/>
      </w:pPr>
      <w:r>
        <w:rPr>
          <w:rFonts w:ascii="Arial" w:cs="Arial" w:eastAsia="Arial" w:hAnsi="Arial"/>
          <w:b/>
          <w:bCs/>
          <w:color w:val="B8860B"/>
          <w:sz w:val="20"/>
          <w:szCs w:val="20"/>
        </w:rPr>
        <w:t xml:space="preserve">38. </w:t>
      </w:r>
      <w:r>
        <w:rPr>
          <w:rFonts w:ascii="Georgia" w:cs="Georgia" w:eastAsia="Georgia" w:hAnsi="Georgia"/>
          <w:color w:val="555555"/>
          <w:sz w:val="20"/>
          <w:szCs w:val="20"/>
        </w:rPr>
        <w:t xml:space="preserve">Electronic Frontier Foundation. (2023). “Open Weights, Open Society.” EFF White Paper.</w:t>
      </w:r>
    </w:p>
    <w:p>
      <w:pPr>
        <w:spacing w:after="80" w:before="80"/>
      </w:pPr>
      <w:r>
        <w:rPr>
          <w:rFonts w:ascii="Arial" w:cs="Arial" w:eastAsia="Arial" w:hAnsi="Arial"/>
          <w:b/>
          <w:bCs/>
          <w:color w:val="B8860B"/>
          <w:sz w:val="20"/>
          <w:szCs w:val="20"/>
        </w:rPr>
        <w:t xml:space="preserve">39. </w:t>
      </w:r>
      <w:r>
        <w:rPr>
          <w:rFonts w:ascii="Georgia" w:cs="Georgia" w:eastAsia="Georgia" w:hAnsi="Georgia"/>
          <w:color w:val="555555"/>
          <w:sz w:val="20"/>
          <w:szCs w:val="20"/>
        </w:rPr>
        <w:t xml:space="preserve">Mozilla Foundation. (2024). “Trustworthy AI: Beyond the Hype.” Mozilla Research.</w:t>
      </w:r>
    </w:p>
    <w:p>
      <w:pPr>
        <w:spacing w:after="80" w:before="80"/>
      </w:pPr>
      <w:r>
        <w:rPr>
          <w:rFonts w:ascii="Arial" w:cs="Arial" w:eastAsia="Arial" w:hAnsi="Arial"/>
          <w:b/>
          <w:bCs/>
          <w:color w:val="B8860B"/>
          <w:sz w:val="20"/>
          <w:szCs w:val="20"/>
        </w:rPr>
        <w:t xml:space="preserve">40. </w:t>
      </w:r>
      <w:r>
        <w:rPr>
          <w:rFonts w:ascii="Georgia" w:cs="Georgia" w:eastAsia="Georgia" w:hAnsi="Georgia"/>
          <w:color w:val="555555"/>
          <w:sz w:val="20"/>
          <w:szCs w:val="20"/>
        </w:rPr>
        <w:t xml:space="preserve">Patterson, D., et al. (2021). “Carbon Considerations for Large Language Model Training.” Google Research.</w:t>
      </w:r>
    </w:p>
    <w:p>
      <w:pPr>
        <w:spacing w:after="80" w:before="80"/>
      </w:pPr>
      <w:r>
        <w:rPr>
          <w:rFonts w:ascii="Arial" w:cs="Arial" w:eastAsia="Arial" w:hAnsi="Arial"/>
          <w:b/>
          <w:bCs/>
          <w:color w:val="B8860B"/>
          <w:sz w:val="20"/>
          <w:szCs w:val="20"/>
        </w:rPr>
        <w:t xml:space="preserve">41. </w:t>
      </w:r>
      <w:r>
        <w:rPr>
          <w:rFonts w:ascii="Georgia" w:cs="Georgia" w:eastAsia="Georgia" w:hAnsi="Georgia"/>
          <w:color w:val="555555"/>
          <w:sz w:val="20"/>
          <w:szCs w:val="20"/>
        </w:rPr>
        <w:t xml:space="preserve">Li, P., et al. (2023). “Making AI Less Thirsty: Uncovering and Addressing the Secret Water Footprint of AI Models.” University of California Riverside.</w:t>
      </w:r>
    </w:p>
    <w:p>
      <w:pPr>
        <w:spacing w:after="80" w:before="80"/>
      </w:pPr>
      <w:r>
        <w:rPr>
          <w:rFonts w:ascii="Arial" w:cs="Arial" w:eastAsia="Arial" w:hAnsi="Arial"/>
          <w:b/>
          <w:bCs/>
          <w:color w:val="B8860B"/>
          <w:sz w:val="20"/>
          <w:szCs w:val="20"/>
        </w:rPr>
        <w:t xml:space="preserve">42. </w:t>
      </w:r>
      <w:r>
        <w:rPr>
          <w:rFonts w:ascii="Georgia" w:cs="Georgia" w:eastAsia="Georgia" w:hAnsi="Georgia"/>
          <w:color w:val="555555"/>
          <w:sz w:val="20"/>
          <w:szCs w:val="20"/>
        </w:rPr>
        <w:t xml:space="preserve">London School of Economics. (2024). “Gender Bias in AI Summarisation of Social Care Case Notes.” LSE Research.</w:t>
      </w:r>
    </w:p>
    <w:p>
      <w:pPr>
        <w:spacing w:after="80" w:before="80"/>
      </w:pPr>
      <w:r>
        <w:rPr>
          <w:rFonts w:ascii="Arial" w:cs="Arial" w:eastAsia="Arial" w:hAnsi="Arial"/>
          <w:b/>
          <w:bCs/>
          <w:color w:val="B8860B"/>
          <w:sz w:val="20"/>
          <w:szCs w:val="20"/>
        </w:rPr>
        <w:t xml:space="preserve">43. </w:t>
      </w:r>
      <w:r>
        <w:rPr>
          <w:rFonts w:ascii="Georgia" w:cs="Georgia" w:eastAsia="Georgia" w:hAnsi="Georgia"/>
          <w:color w:val="555555"/>
          <w:sz w:val="20"/>
          <w:szCs w:val="20"/>
        </w:rPr>
        <w:t xml:space="preserve">npj Digital Medicine. (2024). “Sociodemographic Variation in AI Clinical Triage Decisions.” Nature.</w:t>
      </w:r>
    </w:p>
    <w:p>
      <w:pPr>
        <w:spacing w:after="80" w:before="80"/>
      </w:pPr>
      <w:r>
        <w:rPr>
          <w:rFonts w:ascii="Arial" w:cs="Arial" w:eastAsia="Arial" w:hAnsi="Arial"/>
          <w:b/>
          <w:bCs/>
          <w:color w:val="B8860B"/>
          <w:sz w:val="20"/>
          <w:szCs w:val="20"/>
        </w:rPr>
        <w:t xml:space="preserve">44. </w:t>
      </w:r>
      <w:r>
        <w:rPr>
          <w:rFonts w:ascii="Georgia" w:cs="Georgia" w:eastAsia="Georgia" w:hAnsi="Georgia"/>
          <w:color w:val="555555"/>
          <w:sz w:val="20"/>
          <w:szCs w:val="20"/>
        </w:rPr>
        <w:t xml:space="preserve">Russell, S. (2019). Human Compatible: Artificial Intelligence and the Problem of Control. Viking.</w:t>
      </w:r>
    </w:p>
    <w:p>
      <w:pPr>
        <w:spacing w:after="80" w:before="80"/>
      </w:pPr>
      <w:r>
        <w:rPr>
          <w:rFonts w:ascii="Arial" w:cs="Arial" w:eastAsia="Arial" w:hAnsi="Arial"/>
          <w:b/>
          <w:bCs/>
          <w:color w:val="B8860B"/>
          <w:sz w:val="20"/>
          <w:szCs w:val="20"/>
        </w:rPr>
        <w:t xml:space="preserve">45. </w:t>
      </w:r>
      <w:r>
        <w:rPr>
          <w:rFonts w:ascii="Georgia" w:cs="Georgia" w:eastAsia="Georgia" w:hAnsi="Georgia"/>
          <w:color w:val="555555"/>
          <w:sz w:val="20"/>
          <w:szCs w:val="20"/>
        </w:rPr>
        <w:t xml:space="preserve">Good, I. J. (1966). “Speculations Concerning the First Ultraintelligent Machine.” Advances in Computers, 6: 31–88.</w:t>
      </w:r>
    </w:p>
    <w:p>
      <w:pPr>
        <w:spacing w:after="80" w:before="80"/>
      </w:pPr>
      <w:r>
        <w:rPr>
          <w:rFonts w:ascii="Arial" w:cs="Arial" w:eastAsia="Arial" w:hAnsi="Arial"/>
          <w:b/>
          <w:bCs/>
          <w:color w:val="B8860B"/>
          <w:sz w:val="20"/>
          <w:szCs w:val="20"/>
        </w:rPr>
        <w:t xml:space="preserve">46. </w:t>
      </w:r>
      <w:r>
        <w:rPr>
          <w:rFonts w:ascii="Georgia" w:cs="Georgia" w:eastAsia="Georgia" w:hAnsi="Georgia"/>
          <w:color w:val="555555"/>
          <w:sz w:val="20"/>
          <w:szCs w:val="20"/>
        </w:rPr>
        <w:t xml:space="preserve">Anthropic. (2024). “Progress on Mechanistic Interpretability.” Anthropic Research.</w:t>
      </w:r>
    </w:p>
    <w:p>
      <w:r>
        <w:br w:type="page"/>
      </w:r>
    </w:p>
    <w:p>
      <w:pPr>
        <w:pStyle w:val="Heading1"/>
      </w:pPr>
      <w:r>
        <w:t xml:space="preserve">About the Author</w:t>
      </w:r>
    </w:p>
    <w:p>
      <w:pPr>
        <w:spacing w:after="200" w:line="320"/>
      </w:pPr>
      <w:r>
        <w:rPr>
          <w:rFonts w:ascii="Arial" w:cs="Arial" w:eastAsia="Arial" w:hAnsi="Arial"/>
          <w:sz w:val="22"/>
          <w:szCs w:val="22"/>
        </w:rPr>
        <w:t xml:space="preserve">Pawan Bhatia is the founder of NextGen Economics, an independent research platform publishing long-horizon analysis on capital, technology, and the forces shaping the next decade of wealth creation.</w:t>
      </w:r>
    </w:p>
    <w:p>
      <w:pPr>
        <w:spacing w:after="200" w:line="320"/>
      </w:pPr>
      <w:r>
        <w:rPr>
          <w:rFonts w:ascii="Arial" w:cs="Arial" w:eastAsia="Arial" w:hAnsi="Arial"/>
          <w:sz w:val="22"/>
          <w:szCs w:val="22"/>
        </w:rPr>
        <w:t xml:space="preserve">His work is guided by a singular vision: a world in which the quality and distribution of economic thinking is radically improved — a 1Q world, in which better questions lead to better outcomes. The Alignment Mirage is the second paper in that project.</w:t>
      </w:r>
    </w:p>
    <w:p>
      <w:pPr>
        <w:spacing w:after="200" w:line="320"/>
      </w:pPr>
      <w:r>
        <w:rPr>
          <w:rFonts w:ascii="Arial" w:cs="Arial" w:eastAsia="Arial" w:hAnsi="Arial"/>
          <w:sz w:val="22"/>
          <w:szCs w:val="22"/>
        </w:rPr>
        <w:t xml:space="preserve">This paper was built with the assistance of AI tools for research synthesis, drafting, and formatting. All arguments, policy recommendations, and editorial decisions are the author’s own.</w:t>
      </w:r>
    </w:p>
    <w:p>
      <w:pPr>
        <w:spacing w:after="200" w:line="320"/>
      </w:pPr>
      <w:r>
        <w:rPr>
          <w:rFonts w:ascii="Arial" w:cs="Arial" w:eastAsia="Arial" w:hAnsi="Arial"/>
          <w:sz w:val="22"/>
          <w:szCs w:val="22"/>
        </w:rPr>
        <w:t xml:space="preserve">Contact: pawan.bhatia@nextgeneconomics.com · www.nextgeneconomics.com</w:t>
      </w:r>
    </w:p>
    <w:p>
      <w:pPr>
        <w:spacing w:after="200"/>
      </w:pPr>
      <w:r>
        <w:t xml:space="preserve"/>
      </w:r>
    </w:p>
    <w:p>
      <w:pPr>
        <w:pStyle w:val="Heading1"/>
      </w:pPr>
      <w:r>
        <w:t xml:space="preserve">Publisher’s Note</w:t>
      </w:r>
    </w:p>
    <w:p>
      <w:pPr>
        <w:spacing w:after="200" w:line="320"/>
      </w:pPr>
      <w:r>
        <w:rPr>
          <w:rFonts w:ascii="Arial" w:cs="Arial" w:eastAsia="Arial" w:hAnsi="Arial"/>
          <w:sz w:val="22"/>
          <w:szCs w:val="22"/>
        </w:rPr>
        <w:t xml:space="preserve">NextGen Economics is an independent research platform dedicated to producing evidence-based, accessible, and actionable research on the societal implications of technological change. Our mission is to bridge the gap between emerging technologies and economic governance. We are committed to intellectual independence. No corporate funding, advisory relationships, or consulting engagements influenced the analysis or conclusions presented in this document.</w:t>
      </w:r>
    </w:p>
    <w:p>
      <w:pPr>
        <w:spacing w:after="200" w:line="320"/>
      </w:pPr>
      <w:r>
        <w:rPr>
          <w:rFonts w:ascii="Arial" w:cs="Arial" w:eastAsia="Arial" w:hAnsi="Arial"/>
          <w:sz w:val="22"/>
          <w:szCs w:val="22"/>
        </w:rPr>
        <w:t xml:space="preserve">This white paper is the second in our series on “The Governance of Emerging Technologies,” following our examination of central bank accounting and monetary theory in “Sovereign Money as Equity: A Critical Assessment of the Accounting View of Money.”</w:t>
      </w:r>
    </w:p>
    <w:p>
      <w:pPr>
        <w:spacing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NGE · NEXTGEN ECONOMICS</w:t>
            </w:r>
          </w:p>
          <w:p>
            <w:pPr>
              <w:spacing w:line="300"/>
            </w:pPr>
            <w:r>
              <w:rPr>
                <w:rFonts w:ascii="Arial" w:cs="Arial" w:eastAsia="Arial" w:hAnsi="Arial"/>
                <w:i/>
                <w:iCs/>
                <w:sz w:val="22"/>
                <w:szCs w:val="22"/>
              </w:rPr>
              <w:t xml:space="preserve">Long-horizon thinking on capital, technology, and the forces shaping the next decade of wealth creation. Written from first principles. Not consensus. Not noise. — Pawan Bhatia · NextGen Economics · Bangalore, India · July 2026</w:t>
            </w:r>
          </w:p>
        </w:tc>
      </w:tr>
    </w:tbl>
    <w:p>
      <w:pPr>
        <w:spacing w:after="200"/>
      </w:pPr>
      <w:r>
        <w:t xml:space="preserve"/>
      </w:r>
    </w:p>
    <w:p>
      <w:pPr>
        <w:pStyle w:val="Heading1"/>
      </w:pPr>
      <w:r>
        <w:t xml:space="preserve">Disclaimer</w:t>
      </w:r>
    </w:p>
    <w:p>
      <w:pPr>
        <w:spacing w:after="200" w:line="320"/>
      </w:pPr>
      <w:r>
        <w:rPr>
          <w:rFonts w:ascii="Arial" w:cs="Arial" w:eastAsia="Arial" w:hAnsi="Arial"/>
          <w:sz w:val="22"/>
          <w:szCs w:val="22"/>
        </w:rPr>
        <w:t xml:space="preserve">This white paper is for informational purposes only. The views expressed herein are those of the author(s) and do not necessarily reflect the views of any affiliated organizations. This document does not constitute legal advice, regulatory guidance, or policy endorsement.</w:t>
      </w:r>
    </w:p>
    <w:p>
      <w:pPr>
        <w:spacing w:after="200" w:line="320"/>
      </w:pPr>
      <w:r>
        <w:rPr>
          <w:rFonts w:ascii="Arial" w:cs="Arial" w:eastAsia="Arial" w:hAnsi="Arial"/>
          <w:sz w:val="22"/>
          <w:szCs w:val="22"/>
        </w:rPr>
        <w:t xml:space="preserve">AI Tools Disclaimer: This white paper was developed with the assistance of AI-powered research and writing tools, including large language models for literature synthesis, drafting, and formatting. All substantive arguments, policy recommendations, empirical claims, and final editorial decisions remain the sole responsibility of the author. The use of AI tools does not imply endorsement of the content by any AI system or its developers.</w:t>
      </w:r>
    </w:p>
    <w:p>
      <w:pPr>
        <w:spacing w:after="200" w:line="320"/>
      </w:pPr>
      <w:r>
        <w:rPr>
          <w:rFonts w:ascii="Arial" w:cs="Arial" w:eastAsia="Arial" w:hAnsi="Arial"/>
          <w:sz w:val="22"/>
          <w:szCs w:val="22"/>
        </w:rPr>
        <w:t xml:space="preserve">Reproduction and Distribution: This white paper is licensed under Creative Commons Attribution-NonCommercial 4.0 International License. You are free to share, adapt, and distribute this work for non-commercial purposes, provided you attribute the author appropriately.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pPr>
    <w:rPr>
      <w:rFonts w:ascii="Arial" w:cs="Arial" w:eastAsia="Arial" w:hAnsi="Arial"/>
      <w:b/>
      <w:bCs/>
      <w:color w:val="0A2540"/>
      <w:sz w:val="36"/>
      <w:szCs w:val="36"/>
    </w:rPr>
  </w:style>
  <w:style w:type="paragraph" w:styleId="Heading2">
    <w:name w:val="Heading 2"/>
    <w:basedOn w:val="Normal"/>
    <w:next w:val="Normal"/>
    <w:qFormat/>
    <w:pPr>
      <w:spacing w:after="120" w:before="320"/>
    </w:pPr>
    <w:rPr>
      <w:rFonts w:ascii="Arial" w:cs="Arial" w:eastAsia="Arial" w:hAnsi="Arial"/>
      <w:b/>
      <w:bCs/>
      <w:color w:val="0A2540"/>
      <w:sz w:val="26"/>
      <w:szCs w:val="26"/>
    </w:rPr>
  </w:style>
  <w:style w:type="paragraph" w:styleId="Heading3">
    <w:name w:val="Heading 3"/>
    <w:basedOn w:val="Normal"/>
    <w:next w:val="Normal"/>
    <w:qFormat/>
    <w:pPr>
      <w:spacing w:after="80" w:before="240"/>
    </w:pPr>
    <w:rPr>
      <w:rFonts w:ascii="Arial" w:cs="Arial" w:eastAsia="Arial" w:hAnsi="Arial"/>
      <w:b/>
      <w:bCs/>
      <w:i/>
      <w:iCs/>
      <w:color w:val="55555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2026-07-02T08:28:16.853Z</dcterms:created>
  <dcterms:modified xsi:type="dcterms:W3CDTF">2026-07-02T08:28:16.867Z</dcterms:modified>
</cp:coreProperties>
</file>

<file path=docProps/custom.xml><?xml version="1.0" encoding="utf-8"?>
<Properties xmlns="http://schemas.openxmlformats.org/officeDocument/2006/custom-properties" xmlns:vt="http://schemas.openxmlformats.org/officeDocument/2006/docPropsVTypes"/>
</file>